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FE" w:rsidRPr="000A079E" w:rsidRDefault="000A079E" w:rsidP="000A079E">
      <w:pPr>
        <w:pBdr>
          <w:bottom w:val="single" w:sz="4" w:space="1" w:color="auto"/>
        </w:pBdr>
        <w:spacing w:after="0" w:line="240" w:lineRule="auto"/>
        <w:jc w:val="center"/>
        <w:rPr>
          <w:rFonts w:ascii="Tahoma" w:hAnsi="Tahoma" w:cs="Tahoma"/>
          <w:b/>
          <w:sz w:val="52"/>
          <w:u w:val="single"/>
        </w:rPr>
      </w:pPr>
      <w:proofErr w:type="spellStart"/>
      <w:r w:rsidRPr="000A079E">
        <w:rPr>
          <w:rFonts w:ascii="Tahoma" w:hAnsi="Tahoma" w:cs="Tahoma"/>
          <w:b/>
          <w:sz w:val="36"/>
        </w:rPr>
        <w:t>CEE_Multiúčet</w:t>
      </w:r>
      <w:proofErr w:type="spellEnd"/>
      <w:r w:rsidRPr="000A079E">
        <w:rPr>
          <w:rFonts w:ascii="Tahoma" w:hAnsi="Tahoma" w:cs="Tahoma"/>
          <w:b/>
          <w:sz w:val="36"/>
        </w:rPr>
        <w:t xml:space="preserve"> </w:t>
      </w:r>
      <w:proofErr w:type="spellStart"/>
      <w:r w:rsidRPr="000A079E">
        <w:rPr>
          <w:rFonts w:ascii="Tahoma" w:hAnsi="Tahoma" w:cs="Tahoma"/>
          <w:b/>
          <w:sz w:val="36"/>
        </w:rPr>
        <w:t>SČMBD_základní</w:t>
      </w:r>
      <w:proofErr w:type="spellEnd"/>
      <w:r w:rsidRPr="000A079E">
        <w:rPr>
          <w:rFonts w:ascii="Tahoma" w:hAnsi="Tahoma" w:cs="Tahoma"/>
          <w:b/>
          <w:sz w:val="36"/>
        </w:rPr>
        <w:t xml:space="preserve"> informace</w:t>
      </w:r>
    </w:p>
    <w:p w:rsidR="000A079E" w:rsidRDefault="000A079E" w:rsidP="007C5AFE">
      <w:pPr>
        <w:spacing w:after="0" w:line="240" w:lineRule="auto"/>
        <w:rPr>
          <w:rFonts w:ascii="Tahoma" w:hAnsi="Tahoma" w:cs="Tahoma"/>
          <w:b/>
          <w:i/>
        </w:rPr>
      </w:pPr>
    </w:p>
    <w:p w:rsidR="00CB77B8" w:rsidRPr="007C5AFE" w:rsidRDefault="007C5AFE" w:rsidP="007C5AFE">
      <w:pPr>
        <w:spacing w:after="0" w:line="240" w:lineRule="auto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I. Obecná</w:t>
      </w:r>
      <w:r w:rsidR="00CB77B8" w:rsidRPr="007C5AFE">
        <w:rPr>
          <w:rFonts w:ascii="Tahoma" w:hAnsi="Tahoma" w:cs="Tahoma"/>
          <w:b/>
          <w:i/>
        </w:rPr>
        <w:t xml:space="preserve"> informace k</w:t>
      </w:r>
      <w:r>
        <w:rPr>
          <w:rFonts w:ascii="Tahoma" w:hAnsi="Tahoma" w:cs="Tahoma"/>
          <w:b/>
          <w:i/>
        </w:rPr>
        <w:t> </w:t>
      </w:r>
      <w:r w:rsidR="00CB77B8" w:rsidRPr="007C5AFE">
        <w:rPr>
          <w:rFonts w:ascii="Tahoma" w:hAnsi="Tahoma" w:cs="Tahoma"/>
          <w:b/>
          <w:i/>
        </w:rPr>
        <w:t>lustracím</w:t>
      </w:r>
      <w:r>
        <w:rPr>
          <w:rFonts w:ascii="Tahoma" w:hAnsi="Tahoma" w:cs="Tahoma"/>
          <w:b/>
          <w:i/>
        </w:rPr>
        <w:t xml:space="preserve"> v rámci CEE</w:t>
      </w:r>
    </w:p>
    <w:p w:rsidR="007C5AFE" w:rsidRPr="007C5AFE" w:rsidRDefault="007C5AFE" w:rsidP="007C5AFE">
      <w:pPr>
        <w:spacing w:after="0" w:line="240" w:lineRule="auto"/>
        <w:rPr>
          <w:rFonts w:ascii="Tahoma" w:hAnsi="Tahoma" w:cs="Tahoma"/>
          <w:b/>
          <w:i/>
        </w:rPr>
      </w:pPr>
    </w:p>
    <w:p w:rsidR="00787EB3" w:rsidRPr="007C5AFE" w:rsidRDefault="00787EB3" w:rsidP="007C5AF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  <w:r w:rsidRPr="007C5AFE">
        <w:rPr>
          <w:rFonts w:ascii="Tahoma" w:eastAsia="Times New Roman" w:hAnsi="Tahoma" w:cs="Tahoma"/>
          <w:color w:val="000000"/>
          <w:lang w:eastAsia="cs-CZ"/>
        </w:rPr>
        <w:t xml:space="preserve">Centrální evidence exekucí </w:t>
      </w:r>
      <w:r w:rsidR="00CC4EBE" w:rsidRPr="007C5AFE">
        <w:rPr>
          <w:rFonts w:ascii="Tahoma" w:eastAsia="Times New Roman" w:hAnsi="Tahoma" w:cs="Tahoma"/>
          <w:color w:val="000000"/>
          <w:lang w:eastAsia="cs-CZ"/>
        </w:rPr>
        <w:t xml:space="preserve">(dále též jen </w:t>
      </w:r>
      <w:r w:rsidR="00CC4EBE" w:rsidRPr="007C5AFE">
        <w:rPr>
          <w:rFonts w:ascii="Tahoma" w:eastAsia="Times New Roman" w:hAnsi="Tahoma" w:cs="Tahoma"/>
          <w:i/>
          <w:color w:val="000000"/>
          <w:lang w:eastAsia="cs-CZ"/>
        </w:rPr>
        <w:t>„CEE“</w:t>
      </w:r>
      <w:r w:rsidR="00CC4EBE" w:rsidRPr="007C5AFE">
        <w:rPr>
          <w:rFonts w:ascii="Tahoma" w:eastAsia="Times New Roman" w:hAnsi="Tahoma" w:cs="Tahoma"/>
          <w:color w:val="000000"/>
          <w:lang w:eastAsia="cs-CZ"/>
        </w:rPr>
        <w:t xml:space="preserve">) </w:t>
      </w:r>
      <w:r w:rsidRPr="007C5AFE">
        <w:rPr>
          <w:rFonts w:ascii="Tahoma" w:eastAsia="Times New Roman" w:hAnsi="Tahoma" w:cs="Tahoma"/>
          <w:color w:val="000000"/>
          <w:lang w:eastAsia="cs-CZ"/>
        </w:rPr>
        <w:t>umožňuje zjišťovat indikativní informace o konkrétních exekučních řízeních, zjišťovat, zda byla na konkrétní subjekt nařízena exekuce podle exekučního řádu, který soudní exekutor byl pověřen provedením exekuce, o jakou vymáhanou povinn</w:t>
      </w:r>
      <w:bookmarkStart w:id="0" w:name="_GoBack"/>
      <w:bookmarkEnd w:id="0"/>
      <w:r w:rsidRPr="007C5AFE">
        <w:rPr>
          <w:rFonts w:ascii="Tahoma" w:eastAsia="Times New Roman" w:hAnsi="Tahoma" w:cs="Tahoma"/>
          <w:color w:val="000000"/>
          <w:lang w:eastAsia="cs-CZ"/>
        </w:rPr>
        <w:t>ost se jedná (v případě peněžité pohledávky výši této pohledávky a v případě nepeněži</w:t>
      </w:r>
      <w:r w:rsidRPr="007C5AFE">
        <w:rPr>
          <w:rFonts w:ascii="Tahoma" w:hAnsi="Tahoma" w:cs="Tahoma"/>
        </w:rPr>
        <w:t>té pohledávky pak vymáhanou povinnost)</w:t>
      </w:r>
      <w:r w:rsidRPr="007C5AFE">
        <w:rPr>
          <w:rFonts w:ascii="Tahoma" w:eastAsia="Times New Roman" w:hAnsi="Tahoma" w:cs="Tahoma"/>
          <w:color w:val="000000"/>
          <w:lang w:eastAsia="cs-CZ"/>
        </w:rPr>
        <w:t>, kdy byla exekuce nařízena, zda byla pravomocně odložena či zastavena atd. Centrální evidence exekucí však </w:t>
      </w:r>
      <w:r w:rsidRPr="007C5AFE">
        <w:rPr>
          <w:rFonts w:ascii="Tahoma" w:eastAsia="Times New Roman" w:hAnsi="Tahoma" w:cs="Tahoma"/>
          <w:b/>
          <w:bCs/>
          <w:color w:val="000000"/>
          <w:u w:val="single"/>
          <w:lang w:eastAsia="cs-CZ"/>
        </w:rPr>
        <w:t>neobsahuje</w:t>
      </w:r>
      <w:r w:rsidRPr="007C5AFE">
        <w:rPr>
          <w:rFonts w:ascii="Tahoma" w:eastAsia="Times New Roman" w:hAnsi="Tahoma" w:cs="Tahoma"/>
          <w:b/>
          <w:bCs/>
          <w:color w:val="000000"/>
          <w:lang w:eastAsia="cs-CZ"/>
        </w:rPr>
        <w:t xml:space="preserve"> </w:t>
      </w:r>
      <w:r w:rsidRPr="007C5AFE">
        <w:rPr>
          <w:rFonts w:ascii="Tahoma" w:eastAsia="Times New Roman" w:hAnsi="Tahoma" w:cs="Tahoma"/>
          <w:color w:val="000000"/>
          <w:lang w:eastAsia="cs-CZ"/>
        </w:rPr>
        <w:t xml:space="preserve">údaje o výkonech rozhodnutí vedených </w:t>
      </w:r>
      <w:r w:rsidR="0041026B" w:rsidRPr="007C5AFE">
        <w:rPr>
          <w:rFonts w:ascii="Tahoma" w:eastAsia="Times New Roman" w:hAnsi="Tahoma" w:cs="Tahoma"/>
          <w:color w:val="000000"/>
          <w:lang w:eastAsia="cs-CZ"/>
        </w:rPr>
        <w:t xml:space="preserve">přímo </w:t>
      </w:r>
      <w:r w:rsidRPr="007C5AFE">
        <w:rPr>
          <w:rFonts w:ascii="Tahoma" w:eastAsia="Times New Roman" w:hAnsi="Tahoma" w:cs="Tahoma"/>
          <w:color w:val="000000"/>
          <w:lang w:eastAsia="cs-CZ"/>
        </w:rPr>
        <w:t xml:space="preserve">soudy, </w:t>
      </w:r>
      <w:r w:rsidR="0041026B" w:rsidRPr="007C5AFE">
        <w:rPr>
          <w:rFonts w:ascii="Tahoma" w:eastAsia="Times New Roman" w:hAnsi="Tahoma" w:cs="Tahoma"/>
          <w:color w:val="000000"/>
          <w:lang w:eastAsia="cs-CZ"/>
        </w:rPr>
        <w:t xml:space="preserve">správních exekucích vedenými přímo </w:t>
      </w:r>
      <w:r w:rsidRPr="007C5AFE">
        <w:rPr>
          <w:rFonts w:ascii="Tahoma" w:eastAsia="Times New Roman" w:hAnsi="Tahoma" w:cs="Tahoma"/>
          <w:color w:val="000000"/>
          <w:lang w:eastAsia="cs-CZ"/>
        </w:rPr>
        <w:t xml:space="preserve">orgány </w:t>
      </w:r>
      <w:r w:rsidR="0041026B" w:rsidRPr="007C5AFE">
        <w:rPr>
          <w:rFonts w:ascii="Tahoma" w:eastAsia="Times New Roman" w:hAnsi="Tahoma" w:cs="Tahoma"/>
          <w:color w:val="000000"/>
          <w:lang w:eastAsia="cs-CZ"/>
        </w:rPr>
        <w:t xml:space="preserve">veřejné </w:t>
      </w:r>
      <w:r w:rsidR="002927A8" w:rsidRPr="007C5AFE">
        <w:rPr>
          <w:rFonts w:ascii="Tahoma" w:eastAsia="Times New Roman" w:hAnsi="Tahoma" w:cs="Tahoma"/>
          <w:color w:val="000000"/>
          <w:lang w:eastAsia="cs-CZ"/>
        </w:rPr>
        <w:t>s</w:t>
      </w:r>
      <w:r w:rsidR="0041026B" w:rsidRPr="007C5AFE">
        <w:rPr>
          <w:rFonts w:ascii="Tahoma" w:eastAsia="Times New Roman" w:hAnsi="Tahoma" w:cs="Tahoma"/>
          <w:color w:val="000000"/>
          <w:lang w:eastAsia="cs-CZ"/>
        </w:rPr>
        <w:t xml:space="preserve">právy (např. </w:t>
      </w:r>
      <w:r w:rsidRPr="007C5AFE">
        <w:rPr>
          <w:rFonts w:ascii="Tahoma" w:eastAsia="Times New Roman" w:hAnsi="Tahoma" w:cs="Tahoma"/>
          <w:color w:val="000000"/>
          <w:lang w:eastAsia="cs-CZ"/>
        </w:rPr>
        <w:t>finančními orgány</w:t>
      </w:r>
      <w:r w:rsidR="0041026B" w:rsidRPr="007C5AFE">
        <w:rPr>
          <w:rFonts w:ascii="Tahoma" w:eastAsia="Times New Roman" w:hAnsi="Tahoma" w:cs="Tahoma"/>
          <w:color w:val="000000"/>
          <w:lang w:eastAsia="cs-CZ"/>
        </w:rPr>
        <w:t>)</w:t>
      </w:r>
      <w:r w:rsidRPr="007C5AFE">
        <w:rPr>
          <w:rFonts w:ascii="Tahoma" w:eastAsia="Times New Roman" w:hAnsi="Tahoma" w:cs="Tahoma"/>
          <w:color w:val="000000"/>
          <w:lang w:eastAsia="cs-CZ"/>
        </w:rPr>
        <w:t xml:space="preserve"> či zdravotními pojišťovnami podle jiných předpisů než podle </w:t>
      </w:r>
      <w:r w:rsidR="0041026B" w:rsidRPr="007C5AFE">
        <w:rPr>
          <w:rFonts w:ascii="Tahoma" w:eastAsia="Times New Roman" w:hAnsi="Tahoma" w:cs="Tahoma"/>
          <w:color w:val="000000"/>
          <w:lang w:eastAsia="cs-CZ"/>
        </w:rPr>
        <w:t>zákona č. 120/2001 Sb., o soudních exekutorech a exekuční činnosti (dále jen „exekuční řád“).</w:t>
      </w:r>
      <w:r w:rsidRPr="007C5AFE">
        <w:rPr>
          <w:rFonts w:ascii="Tahoma" w:eastAsia="Times New Roman" w:hAnsi="Tahoma" w:cs="Tahoma"/>
          <w:color w:val="000000"/>
          <w:lang w:eastAsia="cs-CZ"/>
        </w:rPr>
        <w:t> </w:t>
      </w:r>
    </w:p>
    <w:p w:rsidR="0041026B" w:rsidRPr="007C5AFE" w:rsidRDefault="0041026B" w:rsidP="007C5AF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:rsidR="00787EB3" w:rsidRPr="007C5AFE" w:rsidRDefault="00CC4EBE" w:rsidP="007C5AF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  <w:r w:rsidRPr="007C5AFE">
        <w:rPr>
          <w:rFonts w:ascii="Tahoma" w:eastAsia="Times New Roman" w:hAnsi="Tahoma" w:cs="Tahoma"/>
          <w:color w:val="000000"/>
          <w:lang w:eastAsia="cs-CZ"/>
        </w:rPr>
        <w:t>CEE</w:t>
      </w:r>
      <w:r w:rsidR="00787EB3" w:rsidRPr="007C5AFE">
        <w:rPr>
          <w:rFonts w:ascii="Tahoma" w:eastAsia="Times New Roman" w:hAnsi="Tahoma" w:cs="Tahoma"/>
          <w:color w:val="000000"/>
          <w:lang w:eastAsia="cs-CZ"/>
        </w:rPr>
        <w:t>, kterou dle § 125</w:t>
      </w:r>
      <w:r w:rsidR="0041026B" w:rsidRPr="007C5AFE">
        <w:rPr>
          <w:rFonts w:ascii="Tahoma" w:eastAsia="Times New Roman" w:hAnsi="Tahoma" w:cs="Tahoma"/>
          <w:color w:val="000000"/>
          <w:lang w:eastAsia="cs-CZ"/>
        </w:rPr>
        <w:t xml:space="preserve"> exekuční</w:t>
      </w:r>
      <w:r w:rsidR="0023159D" w:rsidRPr="007C5AFE">
        <w:rPr>
          <w:rFonts w:ascii="Tahoma" w:eastAsia="Times New Roman" w:hAnsi="Tahoma" w:cs="Tahoma"/>
          <w:color w:val="000000"/>
          <w:lang w:eastAsia="cs-CZ"/>
        </w:rPr>
        <w:t>ho</w:t>
      </w:r>
      <w:r w:rsidR="0041026B" w:rsidRPr="007C5AFE">
        <w:rPr>
          <w:rFonts w:ascii="Tahoma" w:eastAsia="Times New Roman" w:hAnsi="Tahoma" w:cs="Tahoma"/>
          <w:color w:val="000000"/>
          <w:lang w:eastAsia="cs-CZ"/>
        </w:rPr>
        <w:t xml:space="preserve"> řádu</w:t>
      </w:r>
      <w:r w:rsidR="00787EB3" w:rsidRPr="007C5AFE">
        <w:rPr>
          <w:rFonts w:ascii="Tahoma" w:eastAsia="Times New Roman" w:hAnsi="Tahoma" w:cs="Tahoma"/>
          <w:color w:val="000000"/>
          <w:lang w:eastAsia="cs-CZ"/>
        </w:rPr>
        <w:t>, vede, provozuje a spravuje Exekutorská komora České republiky, je dálkově přístupný veřejný seznam, do kterého zapisují soudní exekutoři </w:t>
      </w:r>
      <w:r w:rsidR="00787EB3" w:rsidRPr="007C5AFE">
        <w:rPr>
          <w:rFonts w:ascii="Tahoma" w:eastAsia="Times New Roman" w:hAnsi="Tahoma" w:cs="Tahoma"/>
          <w:b/>
          <w:bCs/>
          <w:color w:val="000000"/>
          <w:u w:val="single"/>
          <w:lang w:eastAsia="cs-CZ"/>
        </w:rPr>
        <w:t>po uplynutí 30denní lhůty k dobrovolnému plnění</w:t>
      </w:r>
      <w:r w:rsidR="00787EB3" w:rsidRPr="007C5AFE">
        <w:rPr>
          <w:rFonts w:ascii="Tahoma" w:eastAsia="Times New Roman" w:hAnsi="Tahoma" w:cs="Tahoma"/>
          <w:color w:val="000000"/>
          <w:lang w:eastAsia="cs-CZ"/>
        </w:rPr>
        <w:t>, určené ke splnění vymáhané povinnosti,</w:t>
      </w:r>
      <w:r w:rsidR="007654A5" w:rsidRPr="007C5AFE">
        <w:rPr>
          <w:rFonts w:ascii="Tahoma" w:eastAsia="Times New Roman" w:hAnsi="Tahoma" w:cs="Tahoma"/>
          <w:color w:val="000000"/>
          <w:lang w:eastAsia="cs-CZ"/>
        </w:rPr>
        <w:t xml:space="preserve"> </w:t>
      </w:r>
    </w:p>
    <w:p w:rsidR="00787EB3" w:rsidRPr="007C5AFE" w:rsidRDefault="00787EB3" w:rsidP="007C5AF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  <w:r w:rsidRPr="007C5AFE">
        <w:rPr>
          <w:rFonts w:ascii="Tahoma" w:eastAsia="Times New Roman" w:hAnsi="Tahoma" w:cs="Tahoma"/>
          <w:color w:val="000000"/>
          <w:lang w:eastAsia="cs-CZ"/>
        </w:rPr>
        <w:t> </w:t>
      </w:r>
    </w:p>
    <w:p w:rsidR="00787EB3" w:rsidRPr="007C5AFE" w:rsidRDefault="00787EB3" w:rsidP="007C5AFE">
      <w:pPr>
        <w:pStyle w:val="Odstavecseseznamem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  <w:r w:rsidRPr="007C5AFE">
        <w:rPr>
          <w:rFonts w:ascii="Tahoma" w:eastAsia="Times New Roman" w:hAnsi="Tahoma" w:cs="Tahoma"/>
          <w:color w:val="000000"/>
          <w:lang w:eastAsia="cs-CZ"/>
        </w:rPr>
        <w:t>vyrozumění o zahájení exekuce</w:t>
      </w:r>
    </w:p>
    <w:p w:rsidR="00787EB3" w:rsidRPr="007C5AFE" w:rsidRDefault="00787EB3" w:rsidP="007C5AF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  <w:r w:rsidRPr="007C5AFE">
        <w:rPr>
          <w:rFonts w:ascii="Tahoma" w:eastAsia="Times New Roman" w:hAnsi="Tahoma" w:cs="Tahoma"/>
          <w:color w:val="000000"/>
          <w:lang w:eastAsia="cs-CZ"/>
        </w:rPr>
        <w:t>pravomocná usnesení o zastavení a odkladu exekuce</w:t>
      </w:r>
    </w:p>
    <w:p w:rsidR="00CC7B45" w:rsidRPr="007C5AFE" w:rsidRDefault="00787EB3" w:rsidP="007C5AFE">
      <w:pPr>
        <w:pStyle w:val="Odstavecseseznamem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  <w:r w:rsidRPr="007C5AFE">
        <w:rPr>
          <w:rFonts w:ascii="Tahoma" w:eastAsia="Times New Roman" w:hAnsi="Tahoma" w:cs="Tahoma"/>
          <w:color w:val="000000"/>
          <w:lang w:eastAsia="cs-CZ"/>
        </w:rPr>
        <w:t xml:space="preserve">dražební vyhlášky </w:t>
      </w:r>
    </w:p>
    <w:p w:rsidR="00CC7B45" w:rsidRPr="007C5AFE" w:rsidRDefault="00787EB3" w:rsidP="007C5AFE">
      <w:pPr>
        <w:pStyle w:val="Odstavecseseznamem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  <w:r w:rsidRPr="007C5AFE">
        <w:rPr>
          <w:rFonts w:ascii="Tahoma" w:eastAsia="Times New Roman" w:hAnsi="Tahoma" w:cs="Tahoma"/>
          <w:color w:val="000000"/>
          <w:lang w:eastAsia="cs-CZ"/>
        </w:rPr>
        <w:t>oznámení dražebního roku</w:t>
      </w:r>
    </w:p>
    <w:p w:rsidR="00787EB3" w:rsidRPr="007C5AFE" w:rsidRDefault="00787EB3" w:rsidP="007C5AF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  <w:r w:rsidRPr="007C5AFE">
        <w:rPr>
          <w:rFonts w:ascii="Tahoma" w:eastAsia="Times New Roman" w:hAnsi="Tahoma" w:cs="Tahoma"/>
          <w:color w:val="000000"/>
          <w:lang w:eastAsia="cs-CZ"/>
        </w:rPr>
        <w:t>  </w:t>
      </w:r>
    </w:p>
    <w:p w:rsidR="00787EB3" w:rsidRPr="007C5AFE" w:rsidRDefault="00787EB3" w:rsidP="007C5AF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  <w:r w:rsidRPr="007C5AFE">
        <w:rPr>
          <w:rFonts w:ascii="Tahoma" w:eastAsia="Times New Roman" w:hAnsi="Tahoma" w:cs="Tahoma"/>
          <w:color w:val="000000"/>
          <w:lang w:eastAsia="cs-CZ"/>
        </w:rPr>
        <w:t>Změny údajů zapisovaných do evidence provádí exekutor tak, aby odpovídaly stavu řízení, které exekutor vede nebo vedl.</w:t>
      </w:r>
    </w:p>
    <w:p w:rsidR="00787EB3" w:rsidRPr="007C5AFE" w:rsidRDefault="00787EB3" w:rsidP="007C5AF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  <w:r w:rsidRPr="007C5AFE">
        <w:rPr>
          <w:rFonts w:ascii="Tahoma" w:eastAsia="Times New Roman" w:hAnsi="Tahoma" w:cs="Tahoma"/>
          <w:color w:val="000000"/>
          <w:lang w:eastAsia="cs-CZ"/>
        </w:rPr>
        <w:t> </w:t>
      </w:r>
    </w:p>
    <w:p w:rsidR="00787EB3" w:rsidRPr="007C5AFE" w:rsidRDefault="00787EB3" w:rsidP="007C5AF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  <w:r w:rsidRPr="007C5AFE">
        <w:rPr>
          <w:rFonts w:ascii="Tahoma" w:eastAsia="Times New Roman" w:hAnsi="Tahoma" w:cs="Tahoma"/>
          <w:color w:val="000000"/>
          <w:lang w:eastAsia="cs-CZ"/>
        </w:rPr>
        <w:t>Exekutor je povinen odstranit z evidence všechny údaje týkající se nařízené exekuce bez zbytečného odkladu po uplynutí 15 dnů ode dne, kdy se dozvěděl o skončení exekuce.</w:t>
      </w:r>
    </w:p>
    <w:p w:rsidR="00787EB3" w:rsidRPr="007C5AFE" w:rsidRDefault="00787EB3" w:rsidP="007C5AF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  <w:r w:rsidRPr="007C5AFE">
        <w:rPr>
          <w:rFonts w:ascii="Tahoma" w:eastAsia="Times New Roman" w:hAnsi="Tahoma" w:cs="Tahoma"/>
          <w:color w:val="000000"/>
          <w:lang w:eastAsia="cs-CZ"/>
        </w:rPr>
        <w:t> </w:t>
      </w:r>
    </w:p>
    <w:p w:rsidR="00787EB3" w:rsidRPr="007C5AFE" w:rsidRDefault="00787EB3" w:rsidP="007C5AF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  <w:r w:rsidRPr="007C5AFE">
        <w:rPr>
          <w:rFonts w:ascii="Tahoma" w:eastAsia="Times New Roman" w:hAnsi="Tahoma" w:cs="Tahoma"/>
          <w:color w:val="000000"/>
          <w:lang w:eastAsia="cs-CZ"/>
        </w:rPr>
        <w:t>Webové stránky centrální evidence exekucí je možno nalézt na adrese:</w:t>
      </w:r>
    </w:p>
    <w:p w:rsidR="00787EB3" w:rsidRPr="007C5AFE" w:rsidRDefault="00787EB3" w:rsidP="007C5AF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  <w:r w:rsidRPr="007C5AFE">
        <w:rPr>
          <w:rFonts w:ascii="Tahoma" w:eastAsia="Times New Roman" w:hAnsi="Tahoma" w:cs="Tahoma"/>
          <w:color w:val="000000"/>
          <w:lang w:eastAsia="cs-CZ"/>
        </w:rPr>
        <w:t> </w:t>
      </w:r>
    </w:p>
    <w:p w:rsidR="00787EB3" w:rsidRPr="007C5AFE" w:rsidRDefault="000A079E" w:rsidP="007C5A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cs-CZ"/>
        </w:rPr>
      </w:pPr>
      <w:hyperlink r:id="rId5" w:history="1">
        <w:r w:rsidR="00787EB3" w:rsidRPr="007C5AFE">
          <w:rPr>
            <w:rFonts w:ascii="Tahoma" w:eastAsia="Times New Roman" w:hAnsi="Tahoma" w:cs="Tahoma"/>
            <w:color w:val="FF0000"/>
            <w:u w:val="single"/>
            <w:lang w:eastAsia="cs-CZ"/>
          </w:rPr>
          <w:t>www.ceecr.cz</w:t>
        </w:r>
      </w:hyperlink>
    </w:p>
    <w:p w:rsidR="00787EB3" w:rsidRPr="007C5AFE" w:rsidRDefault="00787EB3" w:rsidP="007C5A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cs-CZ"/>
        </w:rPr>
      </w:pPr>
      <w:r w:rsidRPr="007C5AFE">
        <w:rPr>
          <w:rFonts w:ascii="Tahoma" w:eastAsia="Times New Roman" w:hAnsi="Tahoma" w:cs="Tahoma"/>
          <w:color w:val="000000"/>
          <w:lang w:eastAsia="cs-CZ"/>
        </w:rPr>
        <w:t> </w:t>
      </w:r>
    </w:p>
    <w:p w:rsidR="00CC4EBE" w:rsidRPr="007C5AFE" w:rsidRDefault="00787EB3" w:rsidP="007C5AF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cs-CZ"/>
        </w:rPr>
      </w:pPr>
      <w:r w:rsidRPr="007C5AFE">
        <w:rPr>
          <w:rFonts w:ascii="Tahoma" w:eastAsia="Times New Roman" w:hAnsi="Tahoma" w:cs="Tahoma"/>
          <w:b/>
          <w:color w:val="000000"/>
          <w:lang w:eastAsia="cs-CZ"/>
        </w:rPr>
        <w:t xml:space="preserve">Nahlížení do systému </w:t>
      </w:r>
      <w:r w:rsidR="00331606" w:rsidRPr="007C5AFE">
        <w:rPr>
          <w:rFonts w:ascii="Tahoma" w:eastAsia="Times New Roman" w:hAnsi="Tahoma" w:cs="Tahoma"/>
          <w:b/>
          <w:color w:val="000000"/>
          <w:lang w:eastAsia="cs-CZ"/>
        </w:rPr>
        <w:t>CEE</w:t>
      </w:r>
      <w:r w:rsidRPr="007C5AFE">
        <w:rPr>
          <w:rFonts w:ascii="Tahoma" w:eastAsia="Times New Roman" w:hAnsi="Tahoma" w:cs="Tahoma"/>
          <w:b/>
          <w:color w:val="000000"/>
          <w:lang w:eastAsia="cs-CZ"/>
        </w:rPr>
        <w:t xml:space="preserve"> je dle vyhlášky č. 329/2008 Sb., O centrální evidenci exekucí, zpoplatněno</w:t>
      </w:r>
      <w:r w:rsidR="00CC4EBE" w:rsidRPr="007C5AFE">
        <w:rPr>
          <w:rFonts w:ascii="Tahoma" w:eastAsia="Times New Roman" w:hAnsi="Tahoma" w:cs="Tahoma"/>
          <w:b/>
          <w:color w:val="000000"/>
          <w:lang w:eastAsia="cs-CZ"/>
        </w:rPr>
        <w:t xml:space="preserve">. </w:t>
      </w:r>
      <w:r w:rsidRPr="007C5AFE">
        <w:rPr>
          <w:rFonts w:ascii="Tahoma" w:eastAsia="Times New Roman" w:hAnsi="Tahoma" w:cs="Tahoma"/>
          <w:b/>
          <w:color w:val="000000"/>
          <w:lang w:eastAsia="cs-CZ"/>
        </w:rPr>
        <w:t xml:space="preserve"> </w:t>
      </w:r>
    </w:p>
    <w:p w:rsidR="00787EB3" w:rsidRPr="007C5AFE" w:rsidRDefault="00787EB3" w:rsidP="007C5AF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:rsidR="00CC4EBE" w:rsidRPr="007C5AFE" w:rsidRDefault="00CC4EBE" w:rsidP="007C5AF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  <w:r w:rsidRPr="007C5AFE">
        <w:rPr>
          <w:rFonts w:ascii="Tahoma" w:eastAsia="Times New Roman" w:hAnsi="Tahoma" w:cs="Tahoma"/>
          <w:color w:val="000000"/>
          <w:lang w:eastAsia="cs-CZ"/>
        </w:rPr>
        <w:t>Ceník dotazů:</w:t>
      </w:r>
    </w:p>
    <w:p w:rsidR="00787EB3" w:rsidRPr="007C5AFE" w:rsidRDefault="008A69E9" w:rsidP="007C5AF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  <w:r w:rsidRPr="007C5AFE">
        <w:rPr>
          <w:rFonts w:ascii="Tahoma" w:eastAsia="Times New Roman" w:hAnsi="Tahoma" w:cs="Tahoma"/>
          <w:color w:val="000000"/>
          <w:lang w:eastAsia="cs-CZ"/>
        </w:rPr>
        <w:tab/>
      </w:r>
      <w:r w:rsidRPr="007C5AFE">
        <w:rPr>
          <w:rFonts w:ascii="Tahoma" w:eastAsia="Times New Roman" w:hAnsi="Tahoma" w:cs="Tahoma"/>
          <w:color w:val="000000"/>
          <w:lang w:eastAsia="cs-CZ"/>
        </w:rPr>
        <w:tab/>
      </w:r>
      <w:r w:rsidRPr="007C5AFE">
        <w:rPr>
          <w:rFonts w:ascii="Tahoma" w:eastAsia="Times New Roman" w:hAnsi="Tahoma" w:cs="Tahoma"/>
          <w:color w:val="000000"/>
          <w:lang w:eastAsia="cs-CZ"/>
        </w:rPr>
        <w:tab/>
      </w:r>
      <w:r w:rsidRPr="007C5AFE">
        <w:rPr>
          <w:rFonts w:ascii="Tahoma" w:eastAsia="Times New Roman" w:hAnsi="Tahoma" w:cs="Tahoma"/>
          <w:color w:val="000000"/>
          <w:lang w:eastAsia="cs-CZ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3827"/>
      </w:tblGrid>
      <w:tr w:rsidR="008A69E9" w:rsidRPr="007C5AFE" w:rsidTr="008A69E9">
        <w:tc>
          <w:tcPr>
            <w:tcW w:w="2689" w:type="dxa"/>
          </w:tcPr>
          <w:p w:rsidR="008A69E9" w:rsidRPr="007C5AFE" w:rsidRDefault="008A69E9" w:rsidP="007C5AFE">
            <w:pPr>
              <w:rPr>
                <w:rFonts w:ascii="Tahoma" w:hAnsi="Tahoma" w:cs="Tahoma"/>
                <w:b/>
              </w:rPr>
            </w:pPr>
            <w:r w:rsidRPr="007C5AFE">
              <w:rPr>
                <w:rFonts w:ascii="Tahoma" w:hAnsi="Tahoma" w:cs="Tahoma"/>
                <w:b/>
              </w:rPr>
              <w:t xml:space="preserve">počet dotazů </w:t>
            </w:r>
          </w:p>
        </w:tc>
        <w:tc>
          <w:tcPr>
            <w:tcW w:w="3827" w:type="dxa"/>
          </w:tcPr>
          <w:p w:rsidR="008A69E9" w:rsidRPr="007C5AFE" w:rsidRDefault="008A69E9" w:rsidP="007C5AFE">
            <w:pPr>
              <w:rPr>
                <w:rFonts w:ascii="Tahoma" w:hAnsi="Tahoma" w:cs="Tahoma"/>
                <w:b/>
              </w:rPr>
            </w:pPr>
            <w:r w:rsidRPr="007C5AFE">
              <w:rPr>
                <w:rFonts w:ascii="Tahoma" w:hAnsi="Tahoma" w:cs="Tahoma"/>
                <w:b/>
              </w:rPr>
              <w:t>cena za 1 dotaz včetně DPH</w:t>
            </w:r>
          </w:p>
        </w:tc>
      </w:tr>
      <w:tr w:rsidR="008A69E9" w:rsidRPr="007C5AFE" w:rsidTr="008A69E9">
        <w:tc>
          <w:tcPr>
            <w:tcW w:w="2689" w:type="dxa"/>
          </w:tcPr>
          <w:p w:rsidR="008A69E9" w:rsidRPr="007C5AFE" w:rsidRDefault="008A69E9" w:rsidP="007C5AFE">
            <w:pPr>
              <w:rPr>
                <w:rFonts w:ascii="Tahoma" w:hAnsi="Tahoma" w:cs="Tahoma"/>
              </w:rPr>
            </w:pPr>
            <w:r w:rsidRPr="007C5AFE">
              <w:rPr>
                <w:rFonts w:ascii="Tahoma" w:hAnsi="Tahoma" w:cs="Tahoma"/>
              </w:rPr>
              <w:t>1 -1.000</w:t>
            </w:r>
          </w:p>
        </w:tc>
        <w:tc>
          <w:tcPr>
            <w:tcW w:w="3827" w:type="dxa"/>
          </w:tcPr>
          <w:p w:rsidR="008A69E9" w:rsidRPr="007C5AFE" w:rsidRDefault="008A69E9" w:rsidP="007C5AFE">
            <w:pPr>
              <w:rPr>
                <w:rFonts w:ascii="Tahoma" w:hAnsi="Tahoma" w:cs="Tahoma"/>
              </w:rPr>
            </w:pPr>
            <w:r w:rsidRPr="007C5AFE">
              <w:rPr>
                <w:rFonts w:ascii="Tahoma" w:hAnsi="Tahoma" w:cs="Tahoma"/>
              </w:rPr>
              <w:t>60,-</w:t>
            </w:r>
          </w:p>
        </w:tc>
      </w:tr>
      <w:tr w:rsidR="008A69E9" w:rsidRPr="007C5AFE" w:rsidTr="008A69E9">
        <w:tc>
          <w:tcPr>
            <w:tcW w:w="2689" w:type="dxa"/>
          </w:tcPr>
          <w:p w:rsidR="008A69E9" w:rsidRPr="007C5AFE" w:rsidRDefault="008A69E9" w:rsidP="007C5AFE">
            <w:pPr>
              <w:rPr>
                <w:rFonts w:ascii="Tahoma" w:hAnsi="Tahoma" w:cs="Tahoma"/>
              </w:rPr>
            </w:pPr>
            <w:r w:rsidRPr="007C5AFE">
              <w:rPr>
                <w:rFonts w:ascii="Tahoma" w:hAnsi="Tahoma" w:cs="Tahoma"/>
              </w:rPr>
              <w:t>1.001 – 10.000</w:t>
            </w:r>
          </w:p>
        </w:tc>
        <w:tc>
          <w:tcPr>
            <w:tcW w:w="3827" w:type="dxa"/>
          </w:tcPr>
          <w:p w:rsidR="008A69E9" w:rsidRPr="007C5AFE" w:rsidRDefault="008A69E9" w:rsidP="007C5AFE">
            <w:pPr>
              <w:rPr>
                <w:rFonts w:ascii="Tahoma" w:hAnsi="Tahoma" w:cs="Tahoma"/>
              </w:rPr>
            </w:pPr>
            <w:r w:rsidRPr="007C5AFE">
              <w:rPr>
                <w:rFonts w:ascii="Tahoma" w:hAnsi="Tahoma" w:cs="Tahoma"/>
              </w:rPr>
              <w:t>30,-</w:t>
            </w:r>
          </w:p>
        </w:tc>
      </w:tr>
      <w:tr w:rsidR="008A69E9" w:rsidRPr="007C5AFE" w:rsidTr="008A69E9">
        <w:tc>
          <w:tcPr>
            <w:tcW w:w="2689" w:type="dxa"/>
          </w:tcPr>
          <w:p w:rsidR="008A69E9" w:rsidRPr="007C5AFE" w:rsidRDefault="008A69E9" w:rsidP="007C5AFE">
            <w:pPr>
              <w:rPr>
                <w:rFonts w:ascii="Tahoma" w:hAnsi="Tahoma" w:cs="Tahoma"/>
              </w:rPr>
            </w:pPr>
            <w:r w:rsidRPr="007C5AFE">
              <w:rPr>
                <w:rFonts w:ascii="Tahoma" w:hAnsi="Tahoma" w:cs="Tahoma"/>
              </w:rPr>
              <w:t>10.001 – 1.000.000</w:t>
            </w:r>
          </w:p>
        </w:tc>
        <w:tc>
          <w:tcPr>
            <w:tcW w:w="3827" w:type="dxa"/>
          </w:tcPr>
          <w:p w:rsidR="008A69E9" w:rsidRPr="007C5AFE" w:rsidRDefault="008A69E9" w:rsidP="007C5AFE">
            <w:pPr>
              <w:rPr>
                <w:rFonts w:ascii="Tahoma" w:hAnsi="Tahoma" w:cs="Tahoma"/>
              </w:rPr>
            </w:pPr>
            <w:r w:rsidRPr="007C5AFE">
              <w:rPr>
                <w:rFonts w:ascii="Tahoma" w:hAnsi="Tahoma" w:cs="Tahoma"/>
              </w:rPr>
              <w:t>15</w:t>
            </w:r>
          </w:p>
        </w:tc>
      </w:tr>
      <w:tr w:rsidR="008A69E9" w:rsidRPr="007C5AFE" w:rsidTr="008A69E9">
        <w:tc>
          <w:tcPr>
            <w:tcW w:w="2689" w:type="dxa"/>
          </w:tcPr>
          <w:p w:rsidR="008A69E9" w:rsidRPr="007C5AFE" w:rsidRDefault="008A69E9" w:rsidP="007C5AFE">
            <w:pPr>
              <w:rPr>
                <w:rFonts w:ascii="Tahoma" w:hAnsi="Tahoma" w:cs="Tahoma"/>
              </w:rPr>
            </w:pPr>
            <w:r w:rsidRPr="007C5AFE">
              <w:rPr>
                <w:rFonts w:ascii="Tahoma" w:hAnsi="Tahoma" w:cs="Tahoma"/>
              </w:rPr>
              <w:t>1.000.001 a více</w:t>
            </w:r>
          </w:p>
        </w:tc>
        <w:tc>
          <w:tcPr>
            <w:tcW w:w="3827" w:type="dxa"/>
          </w:tcPr>
          <w:p w:rsidR="008A69E9" w:rsidRPr="007C5AFE" w:rsidRDefault="008A69E9" w:rsidP="007C5AFE">
            <w:pPr>
              <w:rPr>
                <w:rFonts w:ascii="Tahoma" w:hAnsi="Tahoma" w:cs="Tahoma"/>
              </w:rPr>
            </w:pPr>
            <w:r w:rsidRPr="007C5AFE">
              <w:rPr>
                <w:rFonts w:ascii="Tahoma" w:hAnsi="Tahoma" w:cs="Tahoma"/>
              </w:rPr>
              <w:t>6,-</w:t>
            </w:r>
          </w:p>
        </w:tc>
      </w:tr>
    </w:tbl>
    <w:tbl>
      <w:tblPr>
        <w:tblW w:w="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40"/>
        <w:gridCol w:w="1020"/>
        <w:gridCol w:w="1380"/>
      </w:tblGrid>
      <w:tr w:rsidR="008A69E9" w:rsidRPr="007C5AFE" w:rsidTr="008A69E9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E9" w:rsidRPr="007C5AFE" w:rsidRDefault="008A69E9" w:rsidP="007C5A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E9" w:rsidRPr="007C5AFE" w:rsidRDefault="008A69E9" w:rsidP="007C5AFE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E9" w:rsidRPr="007C5AFE" w:rsidRDefault="008A69E9" w:rsidP="007C5AFE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E9" w:rsidRPr="007C5AFE" w:rsidRDefault="008A69E9" w:rsidP="007C5AFE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E9" w:rsidRPr="007C5AFE" w:rsidRDefault="008A69E9" w:rsidP="007C5AFE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</w:tc>
      </w:tr>
    </w:tbl>
    <w:p w:rsidR="002E47D9" w:rsidRPr="00563561" w:rsidRDefault="00563561" w:rsidP="00563561">
      <w:pPr>
        <w:spacing w:after="0" w:line="240" w:lineRule="auto"/>
        <w:ind w:left="851" w:hanging="851"/>
        <w:jc w:val="both"/>
        <w:rPr>
          <w:rFonts w:ascii="Tahoma" w:hAnsi="Tahoma" w:cs="Tahoma"/>
        </w:rPr>
      </w:pPr>
      <w:r w:rsidRPr="00563561">
        <w:rPr>
          <w:rFonts w:ascii="Tahoma" w:hAnsi="Tahoma" w:cs="Tahoma"/>
        </w:rPr>
        <w:t xml:space="preserve">Pozn.: Informativní kalkulačku pro výpočet ceny dotazu v rámci </w:t>
      </w:r>
      <w:proofErr w:type="spellStart"/>
      <w:r w:rsidRPr="00563561">
        <w:rPr>
          <w:rFonts w:ascii="Tahoma" w:hAnsi="Tahoma" w:cs="Tahoma"/>
        </w:rPr>
        <w:t>Multiúčtu</w:t>
      </w:r>
      <w:proofErr w:type="spellEnd"/>
      <w:r w:rsidRPr="00563561">
        <w:rPr>
          <w:rFonts w:ascii="Tahoma" w:hAnsi="Tahoma" w:cs="Tahoma"/>
        </w:rPr>
        <w:t xml:space="preserve"> naleznete </w:t>
      </w:r>
      <w:r>
        <w:rPr>
          <w:rFonts w:ascii="Tahoma" w:hAnsi="Tahoma" w:cs="Tahoma"/>
        </w:rPr>
        <w:br/>
      </w:r>
      <w:r w:rsidRPr="00563561">
        <w:rPr>
          <w:rFonts w:ascii="Tahoma" w:hAnsi="Tahoma" w:cs="Tahoma"/>
        </w:rPr>
        <w:t>v příloze č. 3</w:t>
      </w:r>
    </w:p>
    <w:p w:rsidR="002E47D9" w:rsidRDefault="002E47D9" w:rsidP="00563561">
      <w:pPr>
        <w:ind w:left="567" w:hanging="567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8A69E9" w:rsidRPr="007C5AFE" w:rsidRDefault="00CB77B8" w:rsidP="007C5AFE">
      <w:pPr>
        <w:spacing w:after="0" w:line="240" w:lineRule="auto"/>
        <w:ind w:left="426" w:hanging="426"/>
        <w:jc w:val="both"/>
        <w:rPr>
          <w:rFonts w:ascii="Tahoma" w:hAnsi="Tahoma" w:cs="Tahoma"/>
          <w:b/>
          <w:i/>
        </w:rPr>
      </w:pPr>
      <w:r w:rsidRPr="007C5AFE">
        <w:rPr>
          <w:rFonts w:ascii="Tahoma" w:hAnsi="Tahoma" w:cs="Tahoma"/>
          <w:b/>
          <w:i/>
        </w:rPr>
        <w:lastRenderedPageBreak/>
        <w:t xml:space="preserve">II. Zlevnění služby prostřednictvím </w:t>
      </w:r>
      <w:r w:rsidR="00CC4EBE" w:rsidRPr="007C5AFE">
        <w:rPr>
          <w:rFonts w:ascii="Tahoma" w:hAnsi="Tahoma" w:cs="Tahoma"/>
          <w:b/>
          <w:i/>
        </w:rPr>
        <w:t>MULTIÚČTU</w:t>
      </w:r>
      <w:r w:rsidRPr="007C5AFE">
        <w:rPr>
          <w:rFonts w:ascii="Tahoma" w:hAnsi="Tahoma" w:cs="Tahoma"/>
          <w:b/>
          <w:i/>
        </w:rPr>
        <w:t xml:space="preserve"> provozovaného na platformě SČMBD</w:t>
      </w:r>
    </w:p>
    <w:p w:rsidR="007C5AFE" w:rsidRPr="007C5AFE" w:rsidRDefault="007C5AFE" w:rsidP="007C5AFE">
      <w:pPr>
        <w:spacing w:after="0" w:line="240" w:lineRule="auto"/>
        <w:rPr>
          <w:rFonts w:ascii="Tahoma" w:hAnsi="Tahoma" w:cs="Tahoma"/>
        </w:rPr>
      </w:pPr>
    </w:p>
    <w:p w:rsidR="002E47D9" w:rsidRDefault="00CB77B8" w:rsidP="007C5AFE">
      <w:pPr>
        <w:spacing w:after="0" w:line="240" w:lineRule="auto"/>
        <w:jc w:val="both"/>
        <w:rPr>
          <w:rFonts w:ascii="Tahoma" w:hAnsi="Tahoma" w:cs="Tahoma"/>
          <w:b/>
        </w:rPr>
      </w:pPr>
      <w:r w:rsidRPr="007C5AFE">
        <w:rPr>
          <w:rFonts w:ascii="Tahoma" w:hAnsi="Tahoma" w:cs="Tahoma"/>
        </w:rPr>
        <w:t xml:space="preserve">Na základě jednání, která proběhla mezi představiteli </w:t>
      </w:r>
      <w:r w:rsidR="00CC4EBE" w:rsidRPr="007C5AFE">
        <w:rPr>
          <w:rFonts w:ascii="Tahoma" w:hAnsi="Tahoma" w:cs="Tahoma"/>
        </w:rPr>
        <w:t>SČMBD a zástupci</w:t>
      </w:r>
      <w:r w:rsidRPr="007C5AFE">
        <w:rPr>
          <w:rFonts w:ascii="Tahoma" w:hAnsi="Tahoma" w:cs="Tahoma"/>
        </w:rPr>
        <w:t xml:space="preserve"> Exekutorské komory ČR</w:t>
      </w:r>
      <w:r w:rsidR="0041026B" w:rsidRPr="007C5AFE">
        <w:rPr>
          <w:rFonts w:ascii="Tahoma" w:hAnsi="Tahoma" w:cs="Tahoma"/>
        </w:rPr>
        <w:t>,</w:t>
      </w:r>
      <w:r w:rsidRPr="007C5AFE">
        <w:rPr>
          <w:rFonts w:ascii="Tahoma" w:hAnsi="Tahoma" w:cs="Tahoma"/>
        </w:rPr>
        <w:t xml:space="preserve"> </w:t>
      </w:r>
      <w:r w:rsidR="00CC4EBE" w:rsidRPr="007C5AFE">
        <w:rPr>
          <w:rFonts w:ascii="Tahoma" w:hAnsi="Tahoma" w:cs="Tahoma"/>
        </w:rPr>
        <w:t>byl</w:t>
      </w:r>
      <w:r w:rsidR="007C5AFE">
        <w:rPr>
          <w:rFonts w:ascii="Tahoma" w:hAnsi="Tahoma" w:cs="Tahoma"/>
        </w:rPr>
        <w:t>o</w:t>
      </w:r>
      <w:r w:rsidR="00CC4EBE" w:rsidRPr="007C5AFE">
        <w:rPr>
          <w:rFonts w:ascii="Tahoma" w:hAnsi="Tahoma" w:cs="Tahoma"/>
        </w:rPr>
        <w:t xml:space="preserve"> připraven</w:t>
      </w:r>
      <w:r w:rsidR="007C5AFE">
        <w:rPr>
          <w:rFonts w:ascii="Tahoma" w:hAnsi="Tahoma" w:cs="Tahoma"/>
        </w:rPr>
        <w:t>o z</w:t>
      </w:r>
      <w:r w:rsidR="00CC4EBE" w:rsidRPr="007C5AFE">
        <w:rPr>
          <w:rFonts w:ascii="Tahoma" w:hAnsi="Tahoma" w:cs="Tahoma"/>
        </w:rPr>
        <w:t xml:space="preserve">řízení tzv. </w:t>
      </w:r>
      <w:proofErr w:type="spellStart"/>
      <w:r w:rsidR="00CC4EBE" w:rsidRPr="007C5AFE">
        <w:rPr>
          <w:rFonts w:ascii="Tahoma" w:hAnsi="Tahoma" w:cs="Tahoma"/>
        </w:rPr>
        <w:t>Multiúčtu</w:t>
      </w:r>
      <w:proofErr w:type="spellEnd"/>
      <w:r w:rsidR="007C5AFE">
        <w:rPr>
          <w:rFonts w:ascii="Tahoma" w:hAnsi="Tahoma" w:cs="Tahoma"/>
        </w:rPr>
        <w:t xml:space="preserve"> SČMBD</w:t>
      </w:r>
      <w:r w:rsidR="00CC4EBE" w:rsidRPr="007C5AFE">
        <w:rPr>
          <w:rFonts w:ascii="Tahoma" w:hAnsi="Tahoma" w:cs="Tahoma"/>
        </w:rPr>
        <w:t xml:space="preserve">, </w:t>
      </w:r>
      <w:r w:rsidR="007C5AFE">
        <w:rPr>
          <w:rFonts w:ascii="Tahoma" w:hAnsi="Tahoma" w:cs="Tahoma"/>
        </w:rPr>
        <w:t xml:space="preserve">jehož cílem je </w:t>
      </w:r>
      <w:r w:rsidR="00CC1493" w:rsidRPr="007C5AFE">
        <w:rPr>
          <w:rFonts w:ascii="Tahoma" w:hAnsi="Tahoma" w:cs="Tahoma"/>
        </w:rPr>
        <w:t>zlevni</w:t>
      </w:r>
      <w:r w:rsidR="007C5AFE">
        <w:rPr>
          <w:rFonts w:ascii="Tahoma" w:hAnsi="Tahoma" w:cs="Tahoma"/>
        </w:rPr>
        <w:t xml:space="preserve">t </w:t>
      </w:r>
      <w:r w:rsidR="00CC1493" w:rsidRPr="007C5AFE">
        <w:rPr>
          <w:rFonts w:ascii="Tahoma" w:hAnsi="Tahoma" w:cs="Tahoma"/>
        </w:rPr>
        <w:t>c</w:t>
      </w:r>
      <w:r w:rsidR="00CC4EBE" w:rsidRPr="007C5AFE">
        <w:rPr>
          <w:rFonts w:ascii="Tahoma" w:hAnsi="Tahoma" w:cs="Tahoma"/>
        </w:rPr>
        <w:t>enu jednotlivých dotazů bytových družstev prostřednictvím CEE.</w:t>
      </w:r>
      <w:r w:rsidR="003F7B70" w:rsidRPr="007C5AFE">
        <w:rPr>
          <w:rFonts w:ascii="Tahoma" w:hAnsi="Tahoma" w:cs="Tahoma"/>
        </w:rPr>
        <w:t xml:space="preserve"> </w:t>
      </w:r>
      <w:r w:rsidR="002E47D9" w:rsidRPr="002E47D9">
        <w:rPr>
          <w:rFonts w:ascii="Tahoma" w:hAnsi="Tahoma" w:cs="Tahoma"/>
          <w:b/>
        </w:rPr>
        <w:t xml:space="preserve">Tento </w:t>
      </w:r>
      <w:proofErr w:type="spellStart"/>
      <w:r w:rsidR="002E47D9" w:rsidRPr="002E47D9">
        <w:rPr>
          <w:rFonts w:ascii="Tahoma" w:hAnsi="Tahoma" w:cs="Tahoma"/>
          <w:b/>
        </w:rPr>
        <w:t>Multiúčet</w:t>
      </w:r>
      <w:proofErr w:type="spellEnd"/>
      <w:r w:rsidR="002E47D9" w:rsidRPr="002E47D9">
        <w:rPr>
          <w:rFonts w:ascii="Tahoma" w:hAnsi="Tahoma" w:cs="Tahoma"/>
          <w:b/>
        </w:rPr>
        <w:t xml:space="preserve"> SČMBD b</w:t>
      </w:r>
      <w:r w:rsidR="007C5AFE" w:rsidRPr="002E47D9">
        <w:rPr>
          <w:rFonts w:ascii="Tahoma" w:hAnsi="Tahoma" w:cs="Tahoma"/>
          <w:b/>
        </w:rPr>
        <w:t xml:space="preserve">ude aktivní od </w:t>
      </w:r>
      <w:r w:rsidR="002E47D9" w:rsidRPr="002E47D9">
        <w:rPr>
          <w:rFonts w:ascii="Tahoma" w:hAnsi="Tahoma" w:cs="Tahoma"/>
          <w:b/>
        </w:rPr>
        <w:br/>
      </w:r>
      <w:r w:rsidR="007C5AFE" w:rsidRPr="002E47D9">
        <w:rPr>
          <w:rFonts w:ascii="Tahoma" w:hAnsi="Tahoma" w:cs="Tahoma"/>
          <w:b/>
        </w:rPr>
        <w:t>1.</w:t>
      </w:r>
      <w:r w:rsidR="002E47D9" w:rsidRPr="002E47D9">
        <w:rPr>
          <w:rFonts w:ascii="Tahoma" w:hAnsi="Tahoma" w:cs="Tahoma"/>
          <w:b/>
        </w:rPr>
        <w:t xml:space="preserve"> </w:t>
      </w:r>
      <w:r w:rsidR="007C5AFE" w:rsidRPr="002E47D9">
        <w:rPr>
          <w:rFonts w:ascii="Tahoma" w:hAnsi="Tahoma" w:cs="Tahoma"/>
          <w:b/>
        </w:rPr>
        <w:t>4. 2017</w:t>
      </w:r>
      <w:r w:rsidR="002E47D9" w:rsidRPr="002E47D9">
        <w:rPr>
          <w:rFonts w:ascii="Tahoma" w:hAnsi="Tahoma" w:cs="Tahoma"/>
          <w:b/>
        </w:rPr>
        <w:t xml:space="preserve">. </w:t>
      </w:r>
    </w:p>
    <w:p w:rsidR="002E47D9" w:rsidRDefault="002E47D9" w:rsidP="007C5AFE">
      <w:pPr>
        <w:spacing w:after="0" w:line="240" w:lineRule="auto"/>
        <w:jc w:val="both"/>
        <w:rPr>
          <w:rFonts w:ascii="Tahoma" w:hAnsi="Tahoma" w:cs="Tahoma"/>
          <w:b/>
        </w:rPr>
      </w:pPr>
    </w:p>
    <w:p w:rsidR="002E47D9" w:rsidRPr="007C5AFE" w:rsidRDefault="002E47D9" w:rsidP="002E47D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CC4EBE" w:rsidRPr="007C5AFE">
        <w:rPr>
          <w:rFonts w:ascii="Tahoma" w:hAnsi="Tahoma" w:cs="Tahoma"/>
        </w:rPr>
        <w:t>eškeré dotazy jednotlivých bytových družstev, která projeví o účast v</w:t>
      </w:r>
      <w:r w:rsidR="00CC1493" w:rsidRPr="007C5AFE">
        <w:rPr>
          <w:rFonts w:ascii="Tahoma" w:hAnsi="Tahoma" w:cs="Tahoma"/>
        </w:rPr>
        <w:t> </w:t>
      </w:r>
      <w:r w:rsidR="00CC4EBE" w:rsidRPr="007C5AFE">
        <w:rPr>
          <w:rFonts w:ascii="Tahoma" w:hAnsi="Tahoma" w:cs="Tahoma"/>
        </w:rPr>
        <w:t>projektu</w:t>
      </w:r>
      <w:r w:rsidR="00CC1493" w:rsidRPr="007C5AFE">
        <w:rPr>
          <w:rFonts w:ascii="Tahoma" w:hAnsi="Tahoma" w:cs="Tahoma"/>
        </w:rPr>
        <w:t xml:space="preserve"> zájem</w:t>
      </w:r>
      <w:r w:rsidR="00CC4EBE" w:rsidRPr="007C5AFE">
        <w:rPr>
          <w:rFonts w:ascii="Tahoma" w:hAnsi="Tahoma" w:cs="Tahoma"/>
        </w:rPr>
        <w:t xml:space="preserve">, </w:t>
      </w:r>
      <w:r w:rsidR="007C5AFE">
        <w:rPr>
          <w:rFonts w:ascii="Tahoma" w:hAnsi="Tahoma" w:cs="Tahoma"/>
        </w:rPr>
        <w:t xml:space="preserve">budou </w:t>
      </w:r>
      <w:r w:rsidR="00CC4EBE" w:rsidRPr="007C5AFE">
        <w:rPr>
          <w:rFonts w:ascii="Tahoma" w:hAnsi="Tahoma" w:cs="Tahoma"/>
        </w:rPr>
        <w:t xml:space="preserve">prováděny prostřednictvím centrálního </w:t>
      </w:r>
      <w:proofErr w:type="spellStart"/>
      <w:r w:rsidR="007C5AFE">
        <w:rPr>
          <w:rFonts w:ascii="Tahoma" w:hAnsi="Tahoma" w:cs="Tahoma"/>
        </w:rPr>
        <w:t>Multi</w:t>
      </w:r>
      <w:r>
        <w:rPr>
          <w:rFonts w:ascii="Tahoma" w:hAnsi="Tahoma" w:cs="Tahoma"/>
        </w:rPr>
        <w:t>účtu</w:t>
      </w:r>
      <w:proofErr w:type="spellEnd"/>
      <w:r>
        <w:rPr>
          <w:rFonts w:ascii="Tahoma" w:hAnsi="Tahoma" w:cs="Tahoma"/>
        </w:rPr>
        <w:t xml:space="preserve"> SČMBD</w:t>
      </w:r>
      <w:r w:rsidR="00CC1493" w:rsidRPr="007C5AFE">
        <w:rPr>
          <w:rFonts w:ascii="Tahoma" w:hAnsi="Tahoma" w:cs="Tahoma"/>
        </w:rPr>
        <w:t xml:space="preserve">. Na tomto účtu </w:t>
      </w:r>
      <w:r>
        <w:rPr>
          <w:rFonts w:ascii="Tahoma" w:hAnsi="Tahoma" w:cs="Tahoma"/>
        </w:rPr>
        <w:t xml:space="preserve">pak budou všechny dotazy evidovány. Cena za jeden dotaz pak bude stanovena dle ceníku daného vyhláškou </w:t>
      </w:r>
      <w:r>
        <w:rPr>
          <w:rFonts w:ascii="Tahoma" w:hAnsi="Tahoma" w:cs="Tahoma"/>
        </w:rPr>
        <w:br/>
        <w:t xml:space="preserve">č. 329/2008 Sb. Systém je schopen evidovat označení družstva </w:t>
      </w:r>
      <w:r w:rsidRPr="007C5AFE">
        <w:rPr>
          <w:rFonts w:ascii="Tahoma" w:hAnsi="Tahoma" w:cs="Tahoma"/>
        </w:rPr>
        <w:t xml:space="preserve">a celkový počet </w:t>
      </w:r>
      <w:r>
        <w:rPr>
          <w:rFonts w:ascii="Tahoma" w:hAnsi="Tahoma" w:cs="Tahoma"/>
        </w:rPr>
        <w:t xml:space="preserve">družstvem </w:t>
      </w:r>
      <w:r w:rsidRPr="007C5AFE">
        <w:rPr>
          <w:rFonts w:ascii="Tahoma" w:hAnsi="Tahoma" w:cs="Tahoma"/>
        </w:rPr>
        <w:t>za kalendářní rok</w:t>
      </w:r>
      <w:r>
        <w:rPr>
          <w:rFonts w:ascii="Tahoma" w:hAnsi="Tahoma" w:cs="Tahoma"/>
        </w:rPr>
        <w:t xml:space="preserve"> provedených dotazů. </w:t>
      </w:r>
      <w:r w:rsidRPr="007C5AFE">
        <w:rPr>
          <w:rFonts w:ascii="Tahoma" w:hAnsi="Tahoma" w:cs="Tahoma"/>
        </w:rPr>
        <w:t xml:space="preserve">Vzhledem k tomu, že dopředu nelze odhadnout celkový počet dotazů bytových družstev v daném kalendářním roce a tím i výši degresivní slevy poskytované EK ČR za větší množství dotazů, </w:t>
      </w:r>
      <w:r>
        <w:rPr>
          <w:rFonts w:ascii="Tahoma" w:hAnsi="Tahoma" w:cs="Tahoma"/>
        </w:rPr>
        <w:t>budou zúčastněným d</w:t>
      </w:r>
      <w:r w:rsidRPr="007C5AFE">
        <w:rPr>
          <w:rFonts w:ascii="Tahoma" w:hAnsi="Tahoma" w:cs="Tahoma"/>
        </w:rPr>
        <w:t xml:space="preserve">ružstvům </w:t>
      </w:r>
      <w:r w:rsidR="003A47CF">
        <w:rPr>
          <w:rFonts w:ascii="Tahoma" w:hAnsi="Tahoma" w:cs="Tahoma"/>
        </w:rPr>
        <w:t xml:space="preserve">zpravidla čtvrtletně </w:t>
      </w:r>
      <w:r w:rsidRPr="007C5AFE">
        <w:rPr>
          <w:rFonts w:ascii="Tahoma" w:hAnsi="Tahoma" w:cs="Tahoma"/>
        </w:rPr>
        <w:t>zasílány zálohové faktury</w:t>
      </w:r>
      <w:r w:rsidR="003A47CF">
        <w:rPr>
          <w:rFonts w:ascii="Tahoma" w:hAnsi="Tahoma" w:cs="Tahoma"/>
        </w:rPr>
        <w:t xml:space="preserve"> </w:t>
      </w:r>
      <w:r w:rsidR="003A47CF" w:rsidRPr="003A47CF">
        <w:rPr>
          <w:rFonts w:ascii="Tahoma" w:hAnsi="Tahoma" w:cs="Tahoma"/>
        </w:rPr>
        <w:t xml:space="preserve">(pro první kalendářní rok používání přístupu do CEE přes </w:t>
      </w:r>
      <w:proofErr w:type="spellStart"/>
      <w:r w:rsidR="003A47CF" w:rsidRPr="003A47CF">
        <w:rPr>
          <w:rFonts w:ascii="Tahoma" w:hAnsi="Tahoma" w:cs="Tahoma"/>
        </w:rPr>
        <w:t>Multiúčet</w:t>
      </w:r>
      <w:proofErr w:type="spellEnd"/>
      <w:r w:rsidR="003A47CF" w:rsidRPr="003A47CF">
        <w:rPr>
          <w:rFonts w:ascii="Tahoma" w:hAnsi="Tahoma" w:cs="Tahoma"/>
        </w:rPr>
        <w:t xml:space="preserve"> je stanovena zálohová cena 30,-  Kč za 1 náhled) </w:t>
      </w:r>
      <w:r w:rsidRPr="007C5AFE">
        <w:rPr>
          <w:rFonts w:ascii="Tahoma" w:hAnsi="Tahoma" w:cs="Tahoma"/>
        </w:rPr>
        <w:t>s tím, že na konci daného kalendářního roku proběh</w:t>
      </w:r>
      <w:r w:rsidR="003A47CF">
        <w:rPr>
          <w:rFonts w:ascii="Tahoma" w:hAnsi="Tahoma" w:cs="Tahoma"/>
        </w:rPr>
        <w:t>ne</w:t>
      </w:r>
      <w:r w:rsidRPr="007C5AFE">
        <w:rPr>
          <w:rFonts w:ascii="Tahoma" w:hAnsi="Tahoma" w:cs="Tahoma"/>
        </w:rPr>
        <w:t xml:space="preserve"> vyúčtování a družstvu b</w:t>
      </w:r>
      <w:r w:rsidR="003A47CF">
        <w:rPr>
          <w:rFonts w:ascii="Tahoma" w:hAnsi="Tahoma" w:cs="Tahoma"/>
        </w:rPr>
        <w:t xml:space="preserve">ude </w:t>
      </w:r>
      <w:r w:rsidRPr="007C5AFE">
        <w:rPr>
          <w:rFonts w:ascii="Tahoma" w:hAnsi="Tahoma" w:cs="Tahoma"/>
        </w:rPr>
        <w:t>vrácen přeplatek zálohového plnění</w:t>
      </w:r>
      <w:r w:rsidR="003A47CF">
        <w:rPr>
          <w:rFonts w:ascii="Tahoma" w:hAnsi="Tahoma" w:cs="Tahoma"/>
        </w:rPr>
        <w:t xml:space="preserve"> </w:t>
      </w:r>
      <w:r w:rsidRPr="007C5AFE">
        <w:rPr>
          <w:rFonts w:ascii="Tahoma" w:hAnsi="Tahoma" w:cs="Tahoma"/>
        </w:rPr>
        <w:t>nebo doúčtován nedoplatek.</w:t>
      </w:r>
    </w:p>
    <w:p w:rsidR="002E47D9" w:rsidRDefault="002E47D9" w:rsidP="007C5AFE">
      <w:pPr>
        <w:spacing w:after="0" w:line="240" w:lineRule="auto"/>
        <w:jc w:val="both"/>
        <w:rPr>
          <w:rFonts w:ascii="Tahoma" w:hAnsi="Tahoma" w:cs="Tahoma"/>
        </w:rPr>
      </w:pPr>
    </w:p>
    <w:p w:rsidR="003A47CF" w:rsidRPr="003A47CF" w:rsidRDefault="003A47CF" w:rsidP="007C5AFE">
      <w:pPr>
        <w:spacing w:after="0" w:line="240" w:lineRule="auto"/>
        <w:jc w:val="both"/>
        <w:rPr>
          <w:rFonts w:ascii="Tahoma" w:hAnsi="Tahoma" w:cs="Tahoma"/>
          <w:b/>
        </w:rPr>
      </w:pPr>
      <w:r w:rsidRPr="003A47CF">
        <w:rPr>
          <w:rFonts w:ascii="Tahoma" w:hAnsi="Tahoma" w:cs="Tahoma"/>
          <w:b/>
        </w:rPr>
        <w:t>Předpokládáme, že t</w:t>
      </w:r>
      <w:r w:rsidR="004150C9" w:rsidRPr="003A47CF">
        <w:rPr>
          <w:rFonts w:ascii="Tahoma" w:hAnsi="Tahoma" w:cs="Tahoma"/>
          <w:b/>
        </w:rPr>
        <w:t xml:space="preserve">ímto postupem </w:t>
      </w:r>
      <w:r>
        <w:rPr>
          <w:rFonts w:ascii="Tahoma" w:hAnsi="Tahoma" w:cs="Tahoma"/>
          <w:b/>
        </w:rPr>
        <w:t>cena za jednotlivý</w:t>
      </w:r>
      <w:r w:rsidR="004150C9" w:rsidRPr="003A47CF">
        <w:rPr>
          <w:rFonts w:ascii="Tahoma" w:hAnsi="Tahoma" w:cs="Tahoma"/>
          <w:b/>
        </w:rPr>
        <w:t xml:space="preserve"> dotaz s ohledem na jejich celkový (výsledný) počet </w:t>
      </w:r>
      <w:r w:rsidRPr="003A47CF">
        <w:rPr>
          <w:rFonts w:ascii="Tahoma" w:hAnsi="Tahoma" w:cs="Tahoma"/>
          <w:b/>
        </w:rPr>
        <w:t>zlevní k hranici 30,- Kč</w:t>
      </w:r>
      <w:r w:rsidR="001052F1">
        <w:rPr>
          <w:rFonts w:ascii="Tahoma" w:hAnsi="Tahoma" w:cs="Tahoma"/>
          <w:b/>
        </w:rPr>
        <w:t xml:space="preserve">. </w:t>
      </w:r>
      <w:r w:rsidRPr="003A47CF">
        <w:rPr>
          <w:rFonts w:ascii="Tahoma" w:hAnsi="Tahoma" w:cs="Tahoma"/>
          <w:b/>
        </w:rPr>
        <w:t xml:space="preserve"> V případě zájmu většího počtu družstev a tedy i většího počtu dotazů můž</w:t>
      </w:r>
      <w:r w:rsidR="001052F1">
        <w:rPr>
          <w:rFonts w:ascii="Tahoma" w:hAnsi="Tahoma" w:cs="Tahoma"/>
          <w:b/>
        </w:rPr>
        <w:t>e</w:t>
      </w:r>
      <w:r w:rsidRPr="003A47CF">
        <w:rPr>
          <w:rFonts w:ascii="Tahoma" w:hAnsi="Tahoma" w:cs="Tahoma"/>
          <w:b/>
        </w:rPr>
        <w:t xml:space="preserve"> být cena za dotaz ještě nižší. </w:t>
      </w:r>
    </w:p>
    <w:p w:rsidR="003A47CF" w:rsidRDefault="003A47CF" w:rsidP="007C5AFE">
      <w:pPr>
        <w:spacing w:after="0" w:line="240" w:lineRule="auto"/>
        <w:jc w:val="both"/>
        <w:rPr>
          <w:rFonts w:ascii="Tahoma" w:hAnsi="Tahoma" w:cs="Tahoma"/>
          <w:b/>
          <w:u w:val="single"/>
        </w:rPr>
      </w:pPr>
    </w:p>
    <w:p w:rsidR="00E57565" w:rsidRPr="00E57565" w:rsidRDefault="00E57565" w:rsidP="00E57565">
      <w:pPr>
        <w:pStyle w:val="Odstavecseseznamem"/>
        <w:spacing w:after="0"/>
        <w:ind w:left="0"/>
        <w:jc w:val="both"/>
        <w:rPr>
          <w:rFonts w:ascii="Tahoma" w:hAnsi="Tahoma" w:cs="Tahoma"/>
        </w:rPr>
      </w:pPr>
      <w:r w:rsidRPr="00E57565">
        <w:rPr>
          <w:rFonts w:ascii="Tahoma" w:hAnsi="Tahoma" w:cs="Tahoma"/>
        </w:rPr>
        <w:t xml:space="preserve">V případě, že celkový počet dotazu překročí počty uvedené v následující tabulce, bude v rámci konečného vyúčtování do ceny jednotlivého dotazu započítána provize ve prospěch svazu a to ve výši dané tabulkou: </w:t>
      </w:r>
    </w:p>
    <w:p w:rsidR="00E57565" w:rsidRDefault="00E57565" w:rsidP="00E57565">
      <w:pPr>
        <w:pStyle w:val="Odstavecseseznamem"/>
        <w:spacing w:after="0"/>
        <w:ind w:left="567"/>
        <w:jc w:val="both"/>
      </w:pPr>
    </w:p>
    <w:tbl>
      <w:tblPr>
        <w:tblW w:w="906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843"/>
        <w:gridCol w:w="1530"/>
        <w:gridCol w:w="1701"/>
        <w:gridCol w:w="1984"/>
      </w:tblGrid>
      <w:tr w:rsidR="00E57565" w:rsidRPr="00126A91" w:rsidTr="00D20E75">
        <w:trPr>
          <w:trHeight w:hRule="exact" w:val="969"/>
        </w:trPr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 xml:space="preserve">Počet evidovaných dotazů v rámci </w:t>
            </w:r>
            <w:proofErr w:type="spellStart"/>
            <w:r w:rsidRPr="00E57565">
              <w:rPr>
                <w:rFonts w:ascii="Tahoma" w:hAnsi="Tahoma" w:cs="Tahoma"/>
                <w:sz w:val="20"/>
              </w:rPr>
              <w:t>Multiúčtu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Cena za 1 dotaz včetně DPH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Provize svazu v Kč bez DPH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Provize svazu v Kč včetně DPH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Celkem cena za dotaz včetně DPH</w:t>
            </w:r>
          </w:p>
        </w:tc>
      </w:tr>
      <w:tr w:rsidR="00E57565" w:rsidRPr="00126A91" w:rsidTr="00D20E75">
        <w:trPr>
          <w:trHeight w:hRule="exact" w:val="284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1.000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60</w:t>
            </w:r>
          </w:p>
        </w:tc>
      </w:tr>
      <w:tr w:rsidR="00E57565" w:rsidRPr="00126A91" w:rsidTr="00D20E75">
        <w:trPr>
          <w:trHeight w:hRule="exact" w:val="284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5.000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36</w:t>
            </w:r>
          </w:p>
        </w:tc>
      </w:tr>
      <w:tr w:rsidR="00E57565" w:rsidRPr="00126A91" w:rsidTr="00D20E75">
        <w:trPr>
          <w:trHeight w:hRule="exact" w:val="284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10.000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33</w:t>
            </w:r>
          </w:p>
        </w:tc>
      </w:tr>
      <w:tr w:rsidR="00E57565" w:rsidRPr="00126A91" w:rsidTr="00D20E75">
        <w:trPr>
          <w:trHeight w:hRule="exact" w:val="284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15.000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29,42</w:t>
            </w:r>
          </w:p>
        </w:tc>
      </w:tr>
      <w:tr w:rsidR="00E57565" w:rsidRPr="00126A91" w:rsidTr="00D20E75">
        <w:trPr>
          <w:trHeight w:hRule="exact" w:val="284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26,42</w:t>
            </w:r>
          </w:p>
        </w:tc>
      </w:tr>
      <w:tr w:rsidR="00E57565" w:rsidRPr="00126A91" w:rsidTr="00D20E75">
        <w:trPr>
          <w:trHeight w:hRule="exact" w:val="284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25.000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22,2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24,62</w:t>
            </w:r>
          </w:p>
        </w:tc>
      </w:tr>
      <w:tr w:rsidR="00E57565" w:rsidRPr="00126A91" w:rsidTr="00D20E75">
        <w:trPr>
          <w:trHeight w:hRule="exact" w:val="284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30.000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3,025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24,025</w:t>
            </w:r>
          </w:p>
        </w:tc>
      </w:tr>
      <w:tr w:rsidR="00E57565" w:rsidRPr="00126A91" w:rsidTr="00D20E75">
        <w:trPr>
          <w:trHeight w:hRule="exact" w:val="284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40.000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19,5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3,025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22,525</w:t>
            </w:r>
          </w:p>
        </w:tc>
      </w:tr>
      <w:tr w:rsidR="00E57565" w:rsidRPr="00126A91" w:rsidTr="00D20E75">
        <w:trPr>
          <w:trHeight w:hRule="exact" w:val="284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50.000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18,6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3,63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22,23</w:t>
            </w:r>
          </w:p>
        </w:tc>
      </w:tr>
      <w:tr w:rsidR="00E57565" w:rsidRPr="00126A91" w:rsidTr="00D20E75">
        <w:trPr>
          <w:trHeight w:hRule="exact" w:val="284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100.000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16,8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3,63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65" w:rsidRPr="00E57565" w:rsidRDefault="00E57565" w:rsidP="00D20E75">
            <w:pPr>
              <w:jc w:val="right"/>
              <w:rPr>
                <w:rFonts w:ascii="Tahoma" w:hAnsi="Tahoma" w:cs="Tahoma"/>
                <w:sz w:val="20"/>
              </w:rPr>
            </w:pPr>
            <w:r w:rsidRPr="00E57565">
              <w:rPr>
                <w:rFonts w:ascii="Tahoma" w:hAnsi="Tahoma" w:cs="Tahoma"/>
                <w:sz w:val="20"/>
              </w:rPr>
              <w:t>20,43</w:t>
            </w:r>
          </w:p>
        </w:tc>
      </w:tr>
    </w:tbl>
    <w:p w:rsidR="000A7DFD" w:rsidRDefault="000A7DFD" w:rsidP="007C5AFE">
      <w:pPr>
        <w:spacing w:after="0" w:line="240" w:lineRule="auto"/>
        <w:jc w:val="both"/>
        <w:rPr>
          <w:rFonts w:ascii="Tahoma" w:hAnsi="Tahoma" w:cs="Tahoma"/>
          <w:b/>
          <w:u w:val="single"/>
        </w:rPr>
      </w:pPr>
    </w:p>
    <w:p w:rsidR="00E57565" w:rsidRDefault="00E57565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7C5AFE" w:rsidRPr="007C5AFE" w:rsidRDefault="007C5AFE" w:rsidP="007C5AFE">
      <w:pPr>
        <w:spacing w:after="0" w:line="240" w:lineRule="auto"/>
        <w:jc w:val="both"/>
        <w:rPr>
          <w:rFonts w:ascii="Tahoma" w:hAnsi="Tahoma" w:cs="Tahoma"/>
        </w:rPr>
      </w:pPr>
    </w:p>
    <w:p w:rsidR="00CC1493" w:rsidRPr="001052F1" w:rsidRDefault="001052F1" w:rsidP="001052F1">
      <w:pPr>
        <w:spacing w:after="0" w:line="240" w:lineRule="auto"/>
        <w:ind w:left="426" w:hanging="426"/>
        <w:jc w:val="both"/>
        <w:rPr>
          <w:rFonts w:ascii="Tahoma" w:hAnsi="Tahoma" w:cs="Tahoma"/>
          <w:b/>
          <w:i/>
        </w:rPr>
      </w:pPr>
      <w:r w:rsidRPr="001052F1">
        <w:rPr>
          <w:rFonts w:ascii="Tahoma" w:hAnsi="Tahoma" w:cs="Tahoma"/>
          <w:b/>
          <w:i/>
        </w:rPr>
        <w:t xml:space="preserve">III. </w:t>
      </w:r>
      <w:r w:rsidR="00CC1493" w:rsidRPr="001052F1">
        <w:rPr>
          <w:rFonts w:ascii="Tahoma" w:hAnsi="Tahoma" w:cs="Tahoma"/>
          <w:b/>
          <w:i/>
        </w:rPr>
        <w:t xml:space="preserve">SČMBD doporučuje, po vzoru větších družstev, provádět lustraci osob </w:t>
      </w:r>
      <w:r w:rsidR="00C2497B" w:rsidRPr="001052F1">
        <w:rPr>
          <w:rFonts w:ascii="Tahoma" w:hAnsi="Tahoma" w:cs="Tahoma"/>
          <w:b/>
          <w:i/>
        </w:rPr>
        <w:t xml:space="preserve">zejména </w:t>
      </w:r>
      <w:r w:rsidR="00CC1493" w:rsidRPr="001052F1">
        <w:rPr>
          <w:rFonts w:ascii="Tahoma" w:hAnsi="Tahoma" w:cs="Tahoma"/>
          <w:b/>
          <w:i/>
        </w:rPr>
        <w:t>v následně uvedených případech:</w:t>
      </w:r>
    </w:p>
    <w:p w:rsidR="007C5AFE" w:rsidRPr="007C5AFE" w:rsidRDefault="007C5AFE" w:rsidP="007C5AFE">
      <w:pPr>
        <w:spacing w:after="0" w:line="240" w:lineRule="auto"/>
        <w:jc w:val="both"/>
        <w:rPr>
          <w:rFonts w:ascii="Tahoma" w:hAnsi="Tahoma" w:cs="Tahoma"/>
          <w:b/>
          <w:u w:val="single"/>
        </w:rPr>
      </w:pPr>
    </w:p>
    <w:p w:rsidR="00526EDC" w:rsidRPr="007C5AFE" w:rsidRDefault="00CC1493" w:rsidP="007C5AFE">
      <w:pPr>
        <w:spacing w:after="0" w:line="240" w:lineRule="auto"/>
        <w:jc w:val="both"/>
        <w:rPr>
          <w:rFonts w:ascii="Tahoma" w:hAnsi="Tahoma" w:cs="Tahoma"/>
        </w:rPr>
      </w:pPr>
      <w:r w:rsidRPr="007C5AFE">
        <w:rPr>
          <w:rFonts w:ascii="Tahoma" w:hAnsi="Tahoma" w:cs="Tahoma"/>
          <w:b/>
          <w:i/>
        </w:rPr>
        <w:t>1. při převodu družstevního podílu na novou osobu</w:t>
      </w:r>
      <w:r w:rsidR="00526EDC" w:rsidRPr="007C5AFE">
        <w:rPr>
          <w:rFonts w:ascii="Tahoma" w:hAnsi="Tahoma" w:cs="Tahoma"/>
          <w:b/>
          <w:i/>
        </w:rPr>
        <w:t>.</w:t>
      </w:r>
      <w:r w:rsidR="00526EDC" w:rsidRPr="007C5AFE">
        <w:rPr>
          <w:rFonts w:ascii="Tahoma" w:hAnsi="Tahoma" w:cs="Tahoma"/>
        </w:rPr>
        <w:t xml:space="preserve"> V tomto případě družstvo chrání především nabyvatele družstevního podílu, který by měl mít relativní jistotu, že </w:t>
      </w:r>
      <w:r w:rsidR="0051136D" w:rsidRPr="007C5AFE">
        <w:rPr>
          <w:rFonts w:ascii="Tahoma" w:hAnsi="Tahoma" w:cs="Tahoma"/>
        </w:rPr>
        <w:t xml:space="preserve">převodu družstevního podílu nebrání skutečnost, že vůči převodci je vedena exekuce a </w:t>
      </w:r>
      <w:r w:rsidR="0051136D" w:rsidRPr="007C5AFE">
        <w:rPr>
          <w:rFonts w:ascii="Tahoma" w:hAnsi="Tahoma" w:cs="Tahoma"/>
          <w:b/>
        </w:rPr>
        <w:t xml:space="preserve">převodce má </w:t>
      </w:r>
      <w:r w:rsidR="0015742D" w:rsidRPr="007C5AFE">
        <w:rPr>
          <w:rFonts w:ascii="Tahoma" w:hAnsi="Tahoma" w:cs="Tahoma"/>
          <w:b/>
        </w:rPr>
        <w:t xml:space="preserve">tudíž </w:t>
      </w:r>
      <w:r w:rsidR="0051136D" w:rsidRPr="007C5AFE">
        <w:rPr>
          <w:rFonts w:ascii="Tahoma" w:hAnsi="Tahoma" w:cs="Tahoma"/>
          <w:b/>
        </w:rPr>
        <w:t>dán zákaz jakkoliv nakládat se svým majetkem, tedy</w:t>
      </w:r>
      <w:r w:rsidR="0015742D" w:rsidRPr="007C5AFE">
        <w:rPr>
          <w:rFonts w:ascii="Tahoma" w:hAnsi="Tahoma" w:cs="Tahoma"/>
          <w:b/>
        </w:rPr>
        <w:t xml:space="preserve"> i</w:t>
      </w:r>
      <w:r w:rsidR="0051136D" w:rsidRPr="007C5AFE">
        <w:rPr>
          <w:rFonts w:ascii="Tahoma" w:hAnsi="Tahoma" w:cs="Tahoma"/>
          <w:b/>
        </w:rPr>
        <w:t xml:space="preserve"> družstevním podílem jako takovým.</w:t>
      </w:r>
      <w:r w:rsidR="00526EDC" w:rsidRPr="007C5AFE">
        <w:rPr>
          <w:rFonts w:ascii="Tahoma" w:hAnsi="Tahoma" w:cs="Tahoma"/>
        </w:rPr>
        <w:t xml:space="preserve"> </w:t>
      </w:r>
      <w:r w:rsidR="0051136D" w:rsidRPr="007C5AFE">
        <w:rPr>
          <w:rFonts w:ascii="Tahoma" w:hAnsi="Tahoma" w:cs="Tahoma"/>
        </w:rPr>
        <w:t xml:space="preserve">K takové situaci může dojít v případě, kdy soudní exekutor sice ještě nepostihnul družstevní </w:t>
      </w:r>
      <w:r w:rsidR="0015742D" w:rsidRPr="007C5AFE">
        <w:rPr>
          <w:rFonts w:ascii="Tahoma" w:hAnsi="Tahoma" w:cs="Tahoma"/>
        </w:rPr>
        <w:t>podíl samotný (např. proto, že v době vydání prvního exekučního příkazu ještě neměl informaci o tom, zda je povinný členem určitého bytového družstva a disponuje družstevním podílem, se kterým je zpravidla spojeno i právo užívat družstevní byt na základě platné nájemní smlouvy s bytovým družstvem)</w:t>
      </w:r>
      <w:r w:rsidR="004C24FA" w:rsidRPr="007C5AFE">
        <w:rPr>
          <w:rFonts w:ascii="Tahoma" w:hAnsi="Tahoma" w:cs="Tahoma"/>
        </w:rPr>
        <w:t>, zakázal však dlužníkovi – povinnému nakládat se svým majetkem</w:t>
      </w:r>
      <w:r w:rsidR="0015742D" w:rsidRPr="007C5AFE">
        <w:rPr>
          <w:rFonts w:ascii="Tahoma" w:hAnsi="Tahoma" w:cs="Tahoma"/>
        </w:rPr>
        <w:t xml:space="preserve">. </w:t>
      </w:r>
      <w:r w:rsidR="00E7383E" w:rsidRPr="007C5AFE">
        <w:rPr>
          <w:rFonts w:ascii="Tahoma" w:hAnsi="Tahoma" w:cs="Tahoma"/>
        </w:rPr>
        <w:t>P</w:t>
      </w:r>
      <w:r w:rsidR="0015742D" w:rsidRPr="007C5AFE">
        <w:rPr>
          <w:rFonts w:ascii="Tahoma" w:hAnsi="Tahoma" w:cs="Tahoma"/>
        </w:rPr>
        <w:t>ři vydání prvního exekučního příkazu soudní exekutor</w:t>
      </w:r>
      <w:r w:rsidR="0023159D" w:rsidRPr="007C5AFE">
        <w:rPr>
          <w:rFonts w:ascii="Tahoma" w:hAnsi="Tahoma" w:cs="Tahoma"/>
        </w:rPr>
        <w:t xml:space="preserve"> obligatorně zakazuje dlužníkovi</w:t>
      </w:r>
      <w:r w:rsidR="0015742D" w:rsidRPr="007C5AFE">
        <w:rPr>
          <w:rFonts w:ascii="Tahoma" w:hAnsi="Tahoma" w:cs="Tahoma"/>
        </w:rPr>
        <w:t xml:space="preserve"> nakládat zpravidla s veškerým </w:t>
      </w:r>
      <w:r w:rsidR="004C24FA" w:rsidRPr="007C5AFE">
        <w:rPr>
          <w:rFonts w:ascii="Tahoma" w:hAnsi="Tahoma" w:cs="Tahoma"/>
        </w:rPr>
        <w:t xml:space="preserve">jeho </w:t>
      </w:r>
      <w:r w:rsidR="0015742D" w:rsidRPr="007C5AFE">
        <w:rPr>
          <w:rFonts w:ascii="Tahoma" w:hAnsi="Tahoma" w:cs="Tahoma"/>
        </w:rPr>
        <w:t>majetkem</w:t>
      </w:r>
      <w:r w:rsidR="004C24FA" w:rsidRPr="007C5AFE">
        <w:rPr>
          <w:rFonts w:ascii="Tahoma" w:hAnsi="Tahoma" w:cs="Tahoma"/>
        </w:rPr>
        <w:t xml:space="preserve"> a </w:t>
      </w:r>
      <w:r w:rsidR="00CD745C" w:rsidRPr="007C5AFE">
        <w:rPr>
          <w:rFonts w:ascii="Tahoma" w:hAnsi="Tahoma" w:cs="Tahoma"/>
        </w:rPr>
        <w:t xml:space="preserve">povinný </w:t>
      </w:r>
      <w:r w:rsidR="004C24FA" w:rsidRPr="007C5AFE">
        <w:rPr>
          <w:rFonts w:ascii="Tahoma" w:hAnsi="Tahoma" w:cs="Tahoma"/>
        </w:rPr>
        <w:t>dlužník</w:t>
      </w:r>
      <w:r w:rsidR="00CD745C" w:rsidRPr="007C5AFE">
        <w:rPr>
          <w:rFonts w:ascii="Tahoma" w:hAnsi="Tahoma" w:cs="Tahoma"/>
        </w:rPr>
        <w:t xml:space="preserve"> (</w:t>
      </w:r>
      <w:r w:rsidR="004C24FA" w:rsidRPr="007C5AFE">
        <w:rPr>
          <w:rFonts w:ascii="Tahoma" w:hAnsi="Tahoma" w:cs="Tahoma"/>
        </w:rPr>
        <w:t>převodce</w:t>
      </w:r>
      <w:r w:rsidR="00CD745C" w:rsidRPr="007C5AFE">
        <w:rPr>
          <w:rFonts w:ascii="Tahoma" w:hAnsi="Tahoma" w:cs="Tahoma"/>
        </w:rPr>
        <w:t>)</w:t>
      </w:r>
      <w:r w:rsidR="004C24FA" w:rsidRPr="007C5AFE">
        <w:rPr>
          <w:rFonts w:ascii="Tahoma" w:hAnsi="Tahoma" w:cs="Tahoma"/>
        </w:rPr>
        <w:t xml:space="preserve"> tudíž nesmí ani převést svůj družstevní podíl na jinou osobu. Pokud by se přesto dlužník</w:t>
      </w:r>
      <w:r w:rsidR="00CD745C" w:rsidRPr="007C5AFE">
        <w:rPr>
          <w:rFonts w:ascii="Tahoma" w:hAnsi="Tahoma" w:cs="Tahoma"/>
        </w:rPr>
        <w:t xml:space="preserve"> pokoušel o tento převod, je takovéto jednání ze zákona absolutně neplatné a neplatnost tohoto úkonu prohlásí bez dalšího sám soudní exekutor, aniž by o neplatnosti úkonu musel rozhodovat soud. V uvedeném případě </w:t>
      </w:r>
      <w:r w:rsidR="002927A8" w:rsidRPr="007C5AFE">
        <w:rPr>
          <w:rFonts w:ascii="Tahoma" w:hAnsi="Tahoma" w:cs="Tahoma"/>
        </w:rPr>
        <w:t xml:space="preserve">by </w:t>
      </w:r>
      <w:r w:rsidR="00CD745C" w:rsidRPr="007C5AFE">
        <w:rPr>
          <w:rFonts w:ascii="Tahoma" w:hAnsi="Tahoma" w:cs="Tahoma"/>
        </w:rPr>
        <w:t xml:space="preserve">pak nabyvateli, který již za převod podílu uhradil převodci nemalý finanční obnos, zbyly jen oči pro pláč a bytovému družstvu </w:t>
      </w:r>
      <w:r w:rsidR="00E7383E" w:rsidRPr="007C5AFE">
        <w:rPr>
          <w:rFonts w:ascii="Tahoma" w:hAnsi="Tahoma" w:cs="Tahoma"/>
        </w:rPr>
        <w:t xml:space="preserve">by přinejmenším </w:t>
      </w:r>
      <w:r w:rsidR="002927A8" w:rsidRPr="007C5AFE">
        <w:rPr>
          <w:rFonts w:ascii="Tahoma" w:hAnsi="Tahoma" w:cs="Tahoma"/>
        </w:rPr>
        <w:t>vznikly</w:t>
      </w:r>
      <w:r w:rsidR="00CD745C" w:rsidRPr="007C5AFE">
        <w:rPr>
          <w:rFonts w:ascii="Tahoma" w:hAnsi="Tahoma" w:cs="Tahoma"/>
        </w:rPr>
        <w:t xml:space="preserve"> komplikace s vysvětlováním, proč </w:t>
      </w:r>
      <w:r w:rsidR="004F66A5" w:rsidRPr="007C5AFE">
        <w:rPr>
          <w:rFonts w:ascii="Tahoma" w:hAnsi="Tahoma" w:cs="Tahoma"/>
        </w:rPr>
        <w:t xml:space="preserve">je </w:t>
      </w:r>
      <w:r w:rsidR="00CD745C" w:rsidRPr="007C5AFE">
        <w:rPr>
          <w:rFonts w:ascii="Tahoma" w:hAnsi="Tahoma" w:cs="Tahoma"/>
        </w:rPr>
        <w:t>převod podílu neplatný.</w:t>
      </w:r>
      <w:r w:rsidR="00E7383E" w:rsidRPr="007C5AFE">
        <w:rPr>
          <w:rFonts w:ascii="Tahoma" w:hAnsi="Tahoma" w:cs="Tahoma"/>
        </w:rPr>
        <w:t xml:space="preserve"> </w:t>
      </w:r>
    </w:p>
    <w:p w:rsidR="00CD745C" w:rsidRDefault="00CD745C" w:rsidP="007C5AFE">
      <w:pPr>
        <w:spacing w:after="0" w:line="240" w:lineRule="auto"/>
        <w:jc w:val="both"/>
        <w:rPr>
          <w:rFonts w:ascii="Tahoma" w:hAnsi="Tahoma" w:cs="Tahoma"/>
        </w:rPr>
      </w:pPr>
      <w:r w:rsidRPr="007C5AFE">
        <w:rPr>
          <w:rFonts w:ascii="Tahoma" w:hAnsi="Tahoma" w:cs="Tahoma"/>
        </w:rPr>
        <w:t xml:space="preserve">2. </w:t>
      </w:r>
      <w:r w:rsidRPr="007C5AFE">
        <w:rPr>
          <w:rFonts w:ascii="Tahoma" w:hAnsi="Tahoma" w:cs="Tahoma"/>
          <w:b/>
          <w:i/>
        </w:rPr>
        <w:t xml:space="preserve">při prodlení družstevníka s placením nájemného a služeb. </w:t>
      </w:r>
      <w:r w:rsidR="00271F02" w:rsidRPr="007C5AFE">
        <w:rPr>
          <w:rFonts w:ascii="Tahoma" w:hAnsi="Tahoma" w:cs="Tahoma"/>
        </w:rPr>
        <w:t xml:space="preserve">Neschopnost </w:t>
      </w:r>
      <w:r w:rsidRPr="007C5AFE">
        <w:rPr>
          <w:rFonts w:ascii="Tahoma" w:hAnsi="Tahoma" w:cs="Tahoma"/>
        </w:rPr>
        <w:t xml:space="preserve">nájemce družstevního bytu hradit </w:t>
      </w:r>
      <w:r w:rsidR="00271F02" w:rsidRPr="007C5AFE">
        <w:rPr>
          <w:rFonts w:ascii="Tahoma" w:hAnsi="Tahoma" w:cs="Tahoma"/>
        </w:rPr>
        <w:t>družstvu řádně</w:t>
      </w:r>
      <w:r w:rsidRPr="007C5AFE">
        <w:rPr>
          <w:rFonts w:ascii="Tahoma" w:hAnsi="Tahoma" w:cs="Tahoma"/>
        </w:rPr>
        <w:t xml:space="preserve"> a včas nájemné a poplatky za služby spojené s užíváním bytu</w:t>
      </w:r>
      <w:r w:rsidR="00271F02" w:rsidRPr="007C5AFE">
        <w:rPr>
          <w:rFonts w:ascii="Tahoma" w:hAnsi="Tahoma" w:cs="Tahoma"/>
        </w:rPr>
        <w:t xml:space="preserve">, může být neklamným znamením, že družstevník má finanční potíže a je </w:t>
      </w:r>
      <w:r w:rsidR="003F7B70" w:rsidRPr="007C5AFE">
        <w:rPr>
          <w:rFonts w:ascii="Tahoma" w:hAnsi="Tahoma" w:cs="Tahoma"/>
        </w:rPr>
        <w:t xml:space="preserve">vůči němu </w:t>
      </w:r>
      <w:r w:rsidR="00271F02" w:rsidRPr="007C5AFE">
        <w:rPr>
          <w:rFonts w:ascii="Tahoma" w:hAnsi="Tahoma" w:cs="Tahoma"/>
        </w:rPr>
        <w:t>vedena</w:t>
      </w:r>
      <w:r w:rsidR="004F66A5" w:rsidRPr="007C5AFE">
        <w:rPr>
          <w:rFonts w:ascii="Tahoma" w:hAnsi="Tahoma" w:cs="Tahoma"/>
        </w:rPr>
        <w:t xml:space="preserve"> jedna nebo více exekucí</w:t>
      </w:r>
      <w:r w:rsidR="00271F02" w:rsidRPr="007C5AFE">
        <w:rPr>
          <w:rFonts w:ascii="Tahoma" w:hAnsi="Tahoma" w:cs="Tahoma"/>
        </w:rPr>
        <w:t xml:space="preserve"> na jeho majetek. Lustrací v CEE pak družstvo okamžitě zjistí, zda jsou vůči dlužníkovi vedeny exekuce a jaká je výše vymáhané pohledávky/pohledávek. </w:t>
      </w:r>
      <w:r w:rsidR="00D62260" w:rsidRPr="007C5AFE">
        <w:rPr>
          <w:rFonts w:ascii="Tahoma" w:hAnsi="Tahoma" w:cs="Tahoma"/>
        </w:rPr>
        <w:t>Je pak na družstvu, jaký postup vůči dlužníkovi zvolí</w:t>
      </w:r>
      <w:r w:rsidR="00E7383E" w:rsidRPr="007C5AFE">
        <w:rPr>
          <w:rFonts w:ascii="Tahoma" w:hAnsi="Tahoma" w:cs="Tahoma"/>
        </w:rPr>
        <w:t>.</w:t>
      </w:r>
      <w:r w:rsidR="00D62260" w:rsidRPr="007C5AFE">
        <w:rPr>
          <w:rFonts w:ascii="Tahoma" w:hAnsi="Tahoma" w:cs="Tahoma"/>
        </w:rPr>
        <w:t xml:space="preserve"> </w:t>
      </w:r>
    </w:p>
    <w:p w:rsidR="001052F1" w:rsidRDefault="001052F1" w:rsidP="007C5AFE">
      <w:pPr>
        <w:spacing w:after="0" w:line="240" w:lineRule="auto"/>
        <w:jc w:val="both"/>
        <w:rPr>
          <w:rFonts w:ascii="Tahoma" w:hAnsi="Tahoma" w:cs="Tahoma"/>
        </w:rPr>
      </w:pPr>
    </w:p>
    <w:p w:rsidR="001052F1" w:rsidRDefault="001052F1" w:rsidP="002114A5">
      <w:pPr>
        <w:spacing w:after="0"/>
        <w:ind w:left="426" w:hanging="426"/>
        <w:jc w:val="both"/>
        <w:rPr>
          <w:rFonts w:ascii="Tahoma" w:hAnsi="Tahoma" w:cs="Tahoma"/>
          <w:b/>
          <w:i/>
        </w:rPr>
      </w:pPr>
      <w:r w:rsidRPr="001052F1">
        <w:rPr>
          <w:rFonts w:ascii="Tahoma" w:hAnsi="Tahoma" w:cs="Tahoma"/>
          <w:b/>
          <w:i/>
        </w:rPr>
        <w:t>IV</w:t>
      </w:r>
      <w:r w:rsidR="00452398">
        <w:rPr>
          <w:rFonts w:ascii="Tahoma" w:hAnsi="Tahoma" w:cs="Tahoma"/>
          <w:b/>
          <w:i/>
        </w:rPr>
        <w:t>.</w:t>
      </w:r>
      <w:r w:rsidRPr="001052F1">
        <w:rPr>
          <w:rFonts w:ascii="Tahoma" w:hAnsi="Tahoma" w:cs="Tahoma"/>
          <w:b/>
          <w:i/>
        </w:rPr>
        <w:t xml:space="preserve"> Smlouva o nahlížení do CEE prostřednictvím </w:t>
      </w:r>
      <w:proofErr w:type="spellStart"/>
      <w:r w:rsidRPr="001052F1">
        <w:rPr>
          <w:rFonts w:ascii="Tahoma" w:hAnsi="Tahoma" w:cs="Tahoma"/>
          <w:b/>
          <w:i/>
        </w:rPr>
        <w:t>Multiúčtu</w:t>
      </w:r>
      <w:proofErr w:type="spellEnd"/>
      <w:r>
        <w:rPr>
          <w:rFonts w:ascii="Tahoma" w:hAnsi="Tahoma" w:cs="Tahoma"/>
          <w:b/>
          <w:i/>
        </w:rPr>
        <w:t xml:space="preserve"> SČMBD</w:t>
      </w:r>
      <w:r w:rsidR="002114A5">
        <w:rPr>
          <w:rFonts w:ascii="Tahoma" w:hAnsi="Tahoma" w:cs="Tahoma"/>
          <w:b/>
          <w:i/>
        </w:rPr>
        <w:t xml:space="preserve"> a přístup do systému</w:t>
      </w:r>
    </w:p>
    <w:p w:rsidR="001052F1" w:rsidRDefault="001052F1" w:rsidP="001052F1">
      <w:pPr>
        <w:spacing w:after="0"/>
        <w:jc w:val="both"/>
        <w:rPr>
          <w:rFonts w:ascii="Tahoma" w:hAnsi="Tahoma" w:cs="Tahoma"/>
          <w:b/>
          <w:i/>
        </w:rPr>
      </w:pPr>
    </w:p>
    <w:p w:rsidR="001052F1" w:rsidRDefault="001052F1" w:rsidP="001052F1">
      <w:pPr>
        <w:spacing w:after="0"/>
        <w:jc w:val="both"/>
        <w:rPr>
          <w:rFonts w:ascii="Tahoma" w:hAnsi="Tahoma" w:cs="Tahoma"/>
        </w:rPr>
      </w:pPr>
      <w:r w:rsidRPr="001052F1">
        <w:rPr>
          <w:rFonts w:ascii="Tahoma" w:hAnsi="Tahoma" w:cs="Tahoma"/>
        </w:rPr>
        <w:t xml:space="preserve">V případě zájmu družstva o zapojení do projektu </w:t>
      </w:r>
      <w:proofErr w:type="spellStart"/>
      <w:r w:rsidRPr="001052F1">
        <w:rPr>
          <w:rFonts w:ascii="Tahoma" w:hAnsi="Tahoma" w:cs="Tahoma"/>
        </w:rPr>
        <w:t>Multiúčet</w:t>
      </w:r>
      <w:proofErr w:type="spellEnd"/>
      <w:r w:rsidRPr="001052F1">
        <w:rPr>
          <w:rFonts w:ascii="Tahoma" w:hAnsi="Tahoma" w:cs="Tahoma"/>
        </w:rPr>
        <w:t xml:space="preserve"> SČMBD je nutné</w:t>
      </w:r>
      <w:r w:rsidR="00452398">
        <w:rPr>
          <w:rFonts w:ascii="Tahoma" w:hAnsi="Tahoma" w:cs="Tahoma"/>
        </w:rPr>
        <w:t>,</w:t>
      </w:r>
      <w:r w:rsidRPr="001052F1">
        <w:rPr>
          <w:rFonts w:ascii="Tahoma" w:hAnsi="Tahoma" w:cs="Tahoma"/>
        </w:rPr>
        <w:t xml:space="preserve"> aby družstvo uzavřelo se svazem </w:t>
      </w:r>
      <w:r>
        <w:rPr>
          <w:rFonts w:ascii="Tahoma" w:hAnsi="Tahoma" w:cs="Tahoma"/>
          <w:b/>
        </w:rPr>
        <w:t>Smlouvu</w:t>
      </w:r>
      <w:r w:rsidRPr="001052F1">
        <w:rPr>
          <w:rFonts w:ascii="Tahoma" w:hAnsi="Tahoma" w:cs="Tahoma"/>
          <w:b/>
        </w:rPr>
        <w:t xml:space="preserve"> o nahlížení do CEE prostřednictvím </w:t>
      </w:r>
      <w:proofErr w:type="spellStart"/>
      <w:r w:rsidRPr="001052F1">
        <w:rPr>
          <w:rFonts w:ascii="Tahoma" w:hAnsi="Tahoma" w:cs="Tahoma"/>
          <w:b/>
        </w:rPr>
        <w:t>Multiúčtu</w:t>
      </w:r>
      <w:proofErr w:type="spellEnd"/>
      <w:r>
        <w:rPr>
          <w:rFonts w:ascii="Tahoma" w:hAnsi="Tahoma" w:cs="Tahoma"/>
          <w:b/>
        </w:rPr>
        <w:t xml:space="preserve"> SČMBD</w:t>
      </w:r>
      <w:r>
        <w:rPr>
          <w:rFonts w:ascii="Tahoma" w:hAnsi="Tahoma" w:cs="Tahoma"/>
        </w:rPr>
        <w:t xml:space="preserve">, která je přílohou </w:t>
      </w:r>
      <w:r w:rsidR="00E57565">
        <w:rPr>
          <w:rFonts w:ascii="Tahoma" w:hAnsi="Tahoma" w:cs="Tahoma"/>
        </w:rPr>
        <w:t xml:space="preserve">č. 1 </w:t>
      </w:r>
      <w:r>
        <w:rPr>
          <w:rFonts w:ascii="Tahoma" w:hAnsi="Tahoma" w:cs="Tahoma"/>
        </w:rPr>
        <w:t xml:space="preserve">tohoto materiálu. </w:t>
      </w:r>
    </w:p>
    <w:p w:rsidR="00E57565" w:rsidRDefault="00E57565" w:rsidP="001052F1">
      <w:pPr>
        <w:spacing w:after="0"/>
        <w:jc w:val="both"/>
        <w:rPr>
          <w:rFonts w:ascii="Tahoma" w:hAnsi="Tahoma" w:cs="Tahoma"/>
        </w:rPr>
      </w:pPr>
    </w:p>
    <w:p w:rsidR="002114A5" w:rsidRDefault="00E57565" w:rsidP="001052F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okamžiku uzavření smlouvy bude družstvu poskytnut přístup k využívání </w:t>
      </w:r>
      <w:proofErr w:type="spellStart"/>
      <w:r>
        <w:rPr>
          <w:rFonts w:ascii="Tahoma" w:hAnsi="Tahoma" w:cs="Tahoma"/>
        </w:rPr>
        <w:t>Multiúčtu</w:t>
      </w:r>
      <w:proofErr w:type="spellEnd"/>
      <w:r>
        <w:rPr>
          <w:rFonts w:ascii="Tahoma" w:hAnsi="Tahoma" w:cs="Tahoma"/>
        </w:rPr>
        <w:t xml:space="preserve"> SČMBD. </w:t>
      </w:r>
      <w:r w:rsidR="00D60C09">
        <w:rPr>
          <w:rFonts w:ascii="Tahoma" w:hAnsi="Tahoma" w:cs="Tahoma"/>
        </w:rPr>
        <w:t xml:space="preserve">Na e-mail uvedený pro </w:t>
      </w:r>
      <w:r w:rsidR="00DA4008">
        <w:rPr>
          <w:rFonts w:ascii="Tahoma" w:hAnsi="Tahoma" w:cs="Tahoma"/>
        </w:rPr>
        <w:t>registraci do systému bude družstvu zasláno</w:t>
      </w:r>
      <w:r w:rsidR="002114A5">
        <w:rPr>
          <w:rFonts w:ascii="Tahoma" w:hAnsi="Tahoma" w:cs="Tahoma"/>
        </w:rPr>
        <w:t xml:space="preserve">: </w:t>
      </w:r>
    </w:p>
    <w:p w:rsidR="002114A5" w:rsidRPr="002114A5" w:rsidRDefault="002114A5" w:rsidP="002114A5">
      <w:pPr>
        <w:pStyle w:val="Odstavecseseznamem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</w:t>
      </w:r>
      <w:r w:rsidRPr="002114A5">
        <w:rPr>
          <w:rFonts w:ascii="Tahoma" w:hAnsi="Tahoma" w:cs="Tahoma"/>
        </w:rPr>
        <w:t>živatelské jméno (bude po podepsání smlouvy zasláno z ústředí svazu)</w:t>
      </w:r>
      <w:r>
        <w:rPr>
          <w:rFonts w:ascii="Tahoma" w:hAnsi="Tahoma" w:cs="Tahoma"/>
        </w:rPr>
        <w:t xml:space="preserve"> a </w:t>
      </w:r>
    </w:p>
    <w:p w:rsidR="00E57565" w:rsidRPr="002114A5" w:rsidRDefault="002114A5" w:rsidP="00073F02">
      <w:pPr>
        <w:pStyle w:val="Odstavecseseznamem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2114A5">
        <w:rPr>
          <w:rFonts w:ascii="Tahoma" w:hAnsi="Tahoma" w:cs="Tahoma"/>
        </w:rPr>
        <w:t xml:space="preserve">utomatický email generovaný systémem, jehož účelem je </w:t>
      </w:r>
      <w:r w:rsidRPr="002114A5">
        <w:rPr>
          <w:rFonts w:ascii="Tahoma" w:hAnsi="Tahoma" w:cs="Tahoma"/>
          <w:color w:val="000000"/>
        </w:rPr>
        <w:t>ověření existence emailové schránky. Její existenci potvrdíte kliknutím na v emailu uvedený odkaz</w:t>
      </w:r>
      <w:r>
        <w:rPr>
          <w:rFonts w:ascii="Tahoma" w:hAnsi="Tahoma" w:cs="Tahoma"/>
          <w:color w:val="000000"/>
        </w:rPr>
        <w:t xml:space="preserve">. </w:t>
      </w:r>
      <w:r w:rsidRPr="002114A5">
        <w:rPr>
          <w:rFonts w:ascii="Tahoma" w:hAnsi="Tahoma" w:cs="Tahoma"/>
          <w:color w:val="000000"/>
        </w:rPr>
        <w:t xml:space="preserve"> </w:t>
      </w:r>
      <w:r w:rsidRPr="002114A5">
        <w:rPr>
          <w:rFonts w:ascii="Tahoma" w:hAnsi="Tahoma" w:cs="Tahoma"/>
          <w:color w:val="000000"/>
        </w:rPr>
        <w:br/>
      </w:r>
      <w:r w:rsidRPr="002114A5">
        <w:rPr>
          <w:rFonts w:ascii="Tahoma" w:hAnsi="Tahoma" w:cs="Tahoma"/>
        </w:rPr>
        <w:t>„</w:t>
      </w:r>
      <w:proofErr w:type="spellStart"/>
      <w:r w:rsidRPr="002114A5">
        <w:rPr>
          <w:rFonts w:ascii="Tahoma" w:hAnsi="Tahoma" w:cs="Tahoma"/>
        </w:rPr>
        <w:t>Odkliknutím</w:t>
      </w:r>
      <w:proofErr w:type="spellEnd"/>
      <w:r w:rsidRPr="002114A5">
        <w:rPr>
          <w:rFonts w:ascii="Tahoma" w:hAnsi="Tahoma" w:cs="Tahoma"/>
        </w:rPr>
        <w:t xml:space="preserve">“ odkazu budete dále přesměrováni na webové stránky </w:t>
      </w:r>
      <w:hyperlink r:id="rId6" w:history="1">
        <w:r w:rsidRPr="002114A5">
          <w:rPr>
            <w:rStyle w:val="Hypertextovodkaz"/>
            <w:rFonts w:ascii="Tahoma" w:hAnsi="Tahoma" w:cs="Tahoma"/>
          </w:rPr>
          <w:t>www.ceecr.cz</w:t>
        </w:r>
      </w:hyperlink>
      <w:r w:rsidRPr="002114A5">
        <w:rPr>
          <w:rFonts w:ascii="Tahoma" w:hAnsi="Tahoma" w:cs="Tahoma"/>
        </w:rPr>
        <w:t xml:space="preserve"> , kde se budete moci registrovat do systému (uživatelské jméno bude zasláno svazem, heslo bude generováno na stránkách).  </w:t>
      </w:r>
    </w:p>
    <w:p w:rsidR="00E57565" w:rsidRPr="001052F1" w:rsidRDefault="00E57565" w:rsidP="001052F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052F1" w:rsidRDefault="00E57565" w:rsidP="001052F1">
      <w:pPr>
        <w:spacing w:after="0"/>
        <w:jc w:val="both"/>
        <w:rPr>
          <w:rFonts w:ascii="Tahoma" w:hAnsi="Tahoma" w:cs="Tahoma"/>
          <w:b/>
          <w:i/>
        </w:rPr>
      </w:pPr>
      <w:r w:rsidRPr="00E57565">
        <w:rPr>
          <w:rFonts w:ascii="Tahoma" w:hAnsi="Tahoma" w:cs="Tahoma"/>
          <w:b/>
          <w:i/>
        </w:rPr>
        <w:t>V. Manuál pro práci v systému CEE</w:t>
      </w:r>
    </w:p>
    <w:p w:rsidR="00E57565" w:rsidRDefault="00E57565" w:rsidP="001052F1">
      <w:pPr>
        <w:spacing w:after="0"/>
        <w:jc w:val="both"/>
        <w:rPr>
          <w:rFonts w:ascii="Tahoma" w:hAnsi="Tahoma" w:cs="Tahoma"/>
          <w:b/>
          <w:i/>
        </w:rPr>
      </w:pPr>
    </w:p>
    <w:p w:rsidR="001052F1" w:rsidRDefault="00E57565" w:rsidP="007C5AF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Manuál je přílohu č. 2 tohoto materiálu. </w:t>
      </w:r>
    </w:p>
    <w:p w:rsidR="00B853FA" w:rsidRDefault="00B853FA" w:rsidP="007C5AFE">
      <w:pPr>
        <w:spacing w:after="0" w:line="240" w:lineRule="auto"/>
        <w:jc w:val="both"/>
        <w:rPr>
          <w:rFonts w:ascii="Tahoma" w:hAnsi="Tahoma" w:cs="Tahoma"/>
        </w:rPr>
      </w:pPr>
    </w:p>
    <w:p w:rsidR="00B853FA" w:rsidRDefault="00B853FA" w:rsidP="007C5AFE">
      <w:pPr>
        <w:spacing w:after="0" w:line="240" w:lineRule="auto"/>
        <w:jc w:val="both"/>
        <w:rPr>
          <w:rFonts w:ascii="Tahoma" w:hAnsi="Tahoma" w:cs="Tahoma"/>
        </w:rPr>
      </w:pPr>
    </w:p>
    <w:p w:rsidR="00B853FA" w:rsidRPr="007C5AFE" w:rsidRDefault="00B853FA" w:rsidP="00B853FA">
      <w:pPr>
        <w:pBdr>
          <w:top w:val="single" w:sz="4" w:space="1" w:color="auto"/>
        </w:pBd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Kontaktní osoba: Martin Hanák, 241 087 231,  </w:t>
      </w:r>
      <w:hyperlink r:id="rId7" w:history="1">
        <w:r w:rsidRPr="00804D66">
          <w:rPr>
            <w:rStyle w:val="Hypertextovodkaz"/>
            <w:rFonts w:ascii="Tahoma" w:hAnsi="Tahoma" w:cs="Tahoma"/>
          </w:rPr>
          <w:t>martin.hanak@scmbd.cz</w:t>
        </w:r>
      </w:hyperlink>
    </w:p>
    <w:sectPr w:rsidR="00B853FA" w:rsidRPr="007C5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101FD"/>
    <w:multiLevelType w:val="hybridMultilevel"/>
    <w:tmpl w:val="E7F67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31ADA"/>
    <w:multiLevelType w:val="hybridMultilevel"/>
    <w:tmpl w:val="91D04F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018F7"/>
    <w:multiLevelType w:val="hybridMultilevel"/>
    <w:tmpl w:val="FA60E0B6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3"/>
    <w:rsid w:val="000061C9"/>
    <w:rsid w:val="000A079E"/>
    <w:rsid w:val="000A7DFD"/>
    <w:rsid w:val="000F31A9"/>
    <w:rsid w:val="001052F1"/>
    <w:rsid w:val="0015742D"/>
    <w:rsid w:val="002114A5"/>
    <w:rsid w:val="0023159D"/>
    <w:rsid w:val="00271F02"/>
    <w:rsid w:val="00274D21"/>
    <w:rsid w:val="002927A8"/>
    <w:rsid w:val="002E47D9"/>
    <w:rsid w:val="00331606"/>
    <w:rsid w:val="00393B19"/>
    <w:rsid w:val="003A47CF"/>
    <w:rsid w:val="003F7B70"/>
    <w:rsid w:val="0041026B"/>
    <w:rsid w:val="004150C9"/>
    <w:rsid w:val="00415D20"/>
    <w:rsid w:val="00452398"/>
    <w:rsid w:val="004C24FA"/>
    <w:rsid w:val="004F66A5"/>
    <w:rsid w:val="0051136D"/>
    <w:rsid w:val="00526EDC"/>
    <w:rsid w:val="00563561"/>
    <w:rsid w:val="006F713E"/>
    <w:rsid w:val="007654A5"/>
    <w:rsid w:val="007762E3"/>
    <w:rsid w:val="00787EB3"/>
    <w:rsid w:val="007C5AFE"/>
    <w:rsid w:val="0087574B"/>
    <w:rsid w:val="008A69E9"/>
    <w:rsid w:val="009D5E5E"/>
    <w:rsid w:val="00AA4239"/>
    <w:rsid w:val="00B30482"/>
    <w:rsid w:val="00B853FA"/>
    <w:rsid w:val="00C2497B"/>
    <w:rsid w:val="00C5688E"/>
    <w:rsid w:val="00CB77B8"/>
    <w:rsid w:val="00CC1493"/>
    <w:rsid w:val="00CC4EBE"/>
    <w:rsid w:val="00CC7B45"/>
    <w:rsid w:val="00CD745C"/>
    <w:rsid w:val="00D60C09"/>
    <w:rsid w:val="00D62260"/>
    <w:rsid w:val="00DA4008"/>
    <w:rsid w:val="00E57565"/>
    <w:rsid w:val="00E7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80063-600D-456B-B08A-317E3DF8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87EB3"/>
  </w:style>
  <w:style w:type="character" w:styleId="Siln">
    <w:name w:val="Strong"/>
    <w:basedOn w:val="Standardnpsmoodstavce"/>
    <w:uiPriority w:val="22"/>
    <w:qFormat/>
    <w:rsid w:val="00787EB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87EB3"/>
    <w:rPr>
      <w:color w:val="0000FF"/>
      <w:u w:val="single"/>
    </w:rPr>
  </w:style>
  <w:style w:type="table" w:styleId="Mkatabulky">
    <w:name w:val="Table Grid"/>
    <w:basedOn w:val="Normlntabulka"/>
    <w:uiPriority w:val="39"/>
    <w:rsid w:val="008A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5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hanak@scmb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ecr.cz" TargetMode="External"/><Relationship Id="rId5" Type="http://schemas.openxmlformats.org/officeDocument/2006/relationships/hyperlink" Target="http://www.ceecr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Zděnek</dc:creator>
  <cp:keywords/>
  <dc:description/>
  <cp:lastModifiedBy>Martin Hanák</cp:lastModifiedBy>
  <cp:revision>2</cp:revision>
  <cp:lastPrinted>2017-03-30T08:54:00Z</cp:lastPrinted>
  <dcterms:created xsi:type="dcterms:W3CDTF">2017-03-30T10:53:00Z</dcterms:created>
  <dcterms:modified xsi:type="dcterms:W3CDTF">2017-03-30T10:53:00Z</dcterms:modified>
</cp:coreProperties>
</file>