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31" w:rsidRPr="00DC363F" w:rsidRDefault="00710731" w:rsidP="0071073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DC363F">
        <w:rPr>
          <w:b/>
          <w:bCs/>
          <w:sz w:val="28"/>
          <w:szCs w:val="28"/>
        </w:rPr>
        <w:t>ZÁKON</w:t>
      </w:r>
      <w:r w:rsidRPr="00DC363F">
        <w:rPr>
          <w:b/>
          <w:bCs/>
          <w:sz w:val="28"/>
          <w:szCs w:val="28"/>
        </w:rPr>
        <w:t xml:space="preserve"> č. 500/2012 Sb.</w:t>
      </w:r>
    </w:p>
    <w:p w:rsidR="00710731" w:rsidRPr="00DC363F" w:rsidRDefault="00710731" w:rsidP="00710731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DC363F">
        <w:rPr>
          <w:sz w:val="28"/>
          <w:szCs w:val="28"/>
        </w:rPr>
        <w:t>ze dne 19. prosince 2012</w:t>
      </w:r>
    </w:p>
    <w:p w:rsidR="00710731" w:rsidRPr="00DC363F" w:rsidRDefault="00710731" w:rsidP="0071073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DC363F">
        <w:rPr>
          <w:b/>
          <w:bCs/>
          <w:sz w:val="28"/>
          <w:szCs w:val="28"/>
        </w:rPr>
        <w:t>o změně daňových, pojistných a dalších zákonů</w:t>
      </w:r>
    </w:p>
    <w:p w:rsidR="007B2774" w:rsidRPr="00DC363F" w:rsidRDefault="00710731" w:rsidP="00710731">
      <w:pPr>
        <w:jc w:val="center"/>
        <w:rPr>
          <w:b/>
          <w:bCs/>
          <w:sz w:val="28"/>
          <w:szCs w:val="28"/>
        </w:rPr>
      </w:pPr>
      <w:r w:rsidRPr="00DC363F">
        <w:rPr>
          <w:b/>
          <w:bCs/>
          <w:sz w:val="28"/>
          <w:szCs w:val="28"/>
        </w:rPr>
        <w:t>v souvislosti se snižováním schodků veřejných rozpočtů</w:t>
      </w:r>
    </w:p>
    <w:p w:rsidR="00710731" w:rsidRPr="00447C62" w:rsidRDefault="00710731" w:rsidP="00710731">
      <w:pPr>
        <w:jc w:val="center"/>
        <w:rPr>
          <w:b/>
          <w:bCs/>
          <w:sz w:val="24"/>
          <w:szCs w:val="24"/>
        </w:rPr>
      </w:pPr>
    </w:p>
    <w:p w:rsidR="00DC363F" w:rsidRPr="00DC363F" w:rsidRDefault="00DC363F" w:rsidP="00DC363F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  <w:u w:val="single"/>
        </w:rPr>
      </w:pPr>
      <w:r w:rsidRPr="00DC363F">
        <w:rPr>
          <w:b/>
          <w:bCs/>
          <w:sz w:val="24"/>
          <w:szCs w:val="24"/>
          <w:u w:val="single"/>
        </w:rPr>
        <w:t>ČÁST DRUHÁ</w:t>
      </w:r>
    </w:p>
    <w:p w:rsidR="00DC363F" w:rsidRPr="00DC363F" w:rsidRDefault="00DC363F" w:rsidP="00DC363F">
      <w:pPr>
        <w:pStyle w:val="Dvodovzprva"/>
        <w:keepNext w:val="0"/>
        <w:jc w:val="center"/>
        <w:rPr>
          <w:b/>
          <w:i/>
          <w:color w:val="auto"/>
          <w:szCs w:val="24"/>
          <w:u w:val="single"/>
        </w:rPr>
      </w:pPr>
      <w:r w:rsidRPr="00DC363F">
        <w:rPr>
          <w:b/>
          <w:bCs/>
          <w:color w:val="auto"/>
          <w:szCs w:val="24"/>
          <w:u w:val="single"/>
        </w:rPr>
        <w:t>Změna zákona o dani z přidané hodnoty</w:t>
      </w:r>
    </w:p>
    <w:p w:rsidR="00DC363F" w:rsidRDefault="00DC363F" w:rsidP="00710731">
      <w:pPr>
        <w:pStyle w:val="Dvodovzprva"/>
        <w:keepNext w:val="0"/>
        <w:rPr>
          <w:b/>
          <w:i/>
          <w:color w:val="auto"/>
          <w:szCs w:val="24"/>
        </w:rPr>
      </w:pPr>
    </w:p>
    <w:p w:rsidR="00710731" w:rsidRPr="00447C62" w:rsidRDefault="00710731" w:rsidP="00710731">
      <w:pPr>
        <w:pStyle w:val="Dvodovzprva"/>
        <w:keepNext w:val="0"/>
        <w:rPr>
          <w:b/>
          <w:bCs/>
          <w:i/>
          <w:color w:val="auto"/>
          <w:szCs w:val="24"/>
        </w:rPr>
      </w:pPr>
      <w:r w:rsidRPr="00447C62">
        <w:rPr>
          <w:b/>
          <w:i/>
          <w:color w:val="auto"/>
          <w:szCs w:val="24"/>
        </w:rPr>
        <w:t>§</w:t>
      </w:r>
      <w:r w:rsidR="00447C62" w:rsidRPr="00447C62">
        <w:rPr>
          <w:b/>
          <w:bCs/>
          <w:i/>
          <w:color w:val="auto"/>
          <w:szCs w:val="24"/>
        </w:rPr>
        <w:t xml:space="preserve"> 37 odst. 1</w:t>
      </w:r>
    </w:p>
    <w:p w:rsidR="00710731" w:rsidRDefault="00710731" w:rsidP="00710731">
      <w:pPr>
        <w:pStyle w:val="Dvodovzprva"/>
        <w:keepNext w:val="0"/>
        <w:rPr>
          <w:color w:val="auto"/>
          <w:szCs w:val="24"/>
        </w:rPr>
      </w:pPr>
      <w:r w:rsidRPr="00447C62">
        <w:rPr>
          <w:color w:val="auto"/>
          <w:szCs w:val="24"/>
        </w:rPr>
        <w:t xml:space="preserve">Ustanovení upravuje </w:t>
      </w:r>
      <w:r w:rsidRPr="00447C62">
        <w:rPr>
          <w:b/>
          <w:color w:val="auto"/>
          <w:szCs w:val="24"/>
        </w:rPr>
        <w:t>způsob zjištění daně</w:t>
      </w:r>
      <w:r w:rsidRPr="00447C62">
        <w:rPr>
          <w:color w:val="auto"/>
          <w:szCs w:val="24"/>
        </w:rPr>
        <w:t>, a to za použití formulace „daň se vypočte jako so</w:t>
      </w:r>
      <w:r w:rsidR="00447C62">
        <w:rPr>
          <w:color w:val="auto"/>
          <w:szCs w:val="24"/>
        </w:rPr>
        <w:t>učin základu daně a sazby daně“ (o</w:t>
      </w:r>
      <w:r w:rsidRPr="00447C62">
        <w:rPr>
          <w:color w:val="auto"/>
          <w:szCs w:val="24"/>
        </w:rPr>
        <w:t>bdobné legislativní technické řešení by mělo být výhledově obsaženo ve všech daňových zákonech</w:t>
      </w:r>
      <w:r w:rsidR="00447C62">
        <w:rPr>
          <w:color w:val="auto"/>
          <w:szCs w:val="24"/>
        </w:rPr>
        <w:t xml:space="preserve"> v rámci</w:t>
      </w:r>
      <w:r w:rsidRPr="00447C62">
        <w:rPr>
          <w:color w:val="auto"/>
          <w:szCs w:val="24"/>
        </w:rPr>
        <w:t xml:space="preserve"> procesu postupného terminologického sjednocování legislativních textů daňových předpisů</w:t>
      </w:r>
      <w:r w:rsidR="00447C62">
        <w:rPr>
          <w:color w:val="auto"/>
          <w:szCs w:val="24"/>
        </w:rPr>
        <w:t>)</w:t>
      </w:r>
      <w:r w:rsidRPr="00447C62">
        <w:rPr>
          <w:color w:val="auto"/>
          <w:szCs w:val="24"/>
        </w:rPr>
        <w:t xml:space="preserve">. </w:t>
      </w:r>
      <w:r w:rsidRPr="00447C62">
        <w:rPr>
          <w:b/>
          <w:color w:val="auto"/>
          <w:szCs w:val="24"/>
        </w:rPr>
        <w:t>Nejedná se</w:t>
      </w:r>
      <w:r w:rsidR="00447C62" w:rsidRPr="00447C62">
        <w:rPr>
          <w:b/>
          <w:color w:val="auto"/>
          <w:szCs w:val="24"/>
        </w:rPr>
        <w:t xml:space="preserve"> </w:t>
      </w:r>
      <w:r w:rsidRPr="00447C62">
        <w:rPr>
          <w:b/>
          <w:color w:val="auto"/>
          <w:szCs w:val="24"/>
        </w:rPr>
        <w:t>o novou konstrukci</w:t>
      </w:r>
      <w:r w:rsidRPr="00447C62">
        <w:rPr>
          <w:color w:val="auto"/>
          <w:szCs w:val="24"/>
        </w:rPr>
        <w:t>, ale o převzetí formulace, která byla dohodnuta v rámci projednání zákona o jednom inkasním místu</w:t>
      </w:r>
      <w:r w:rsidR="00447C62">
        <w:rPr>
          <w:color w:val="auto"/>
          <w:szCs w:val="24"/>
        </w:rPr>
        <w:t>.</w:t>
      </w:r>
    </w:p>
    <w:p w:rsidR="00447C62" w:rsidRPr="00447C62" w:rsidRDefault="00447C62" w:rsidP="00710731">
      <w:pPr>
        <w:pStyle w:val="Dvodovzprva"/>
        <w:keepNext w:val="0"/>
        <w:rPr>
          <w:color w:val="auto"/>
          <w:szCs w:val="24"/>
        </w:rPr>
      </w:pPr>
    </w:p>
    <w:p w:rsidR="00710731" w:rsidRPr="00447C62" w:rsidRDefault="00710731" w:rsidP="00710731">
      <w:pPr>
        <w:pStyle w:val="Dvodovzprva"/>
        <w:keepNext w:val="0"/>
        <w:rPr>
          <w:b/>
          <w:i/>
          <w:color w:val="auto"/>
          <w:szCs w:val="24"/>
        </w:rPr>
      </w:pPr>
      <w:r w:rsidRPr="00447C62">
        <w:rPr>
          <w:b/>
          <w:i/>
          <w:color w:val="auto"/>
          <w:szCs w:val="24"/>
        </w:rPr>
        <w:t xml:space="preserve">§ 37 </w:t>
      </w:r>
      <w:r w:rsidR="00447C62" w:rsidRPr="00447C62">
        <w:rPr>
          <w:b/>
          <w:i/>
          <w:color w:val="auto"/>
          <w:szCs w:val="24"/>
        </w:rPr>
        <w:t>odst. 2 a § 47 odst. 1 písm. a)</w:t>
      </w:r>
    </w:p>
    <w:p w:rsidR="00710731" w:rsidRPr="00447C62" w:rsidRDefault="00447C62" w:rsidP="00710731">
      <w:pPr>
        <w:pStyle w:val="Dvodovzprva"/>
        <w:keepNext w:val="0"/>
        <w:rPr>
          <w:b/>
          <w:color w:val="auto"/>
          <w:szCs w:val="24"/>
        </w:rPr>
      </w:pPr>
      <w:r w:rsidRPr="00447C62">
        <w:rPr>
          <w:b/>
          <w:color w:val="auto"/>
          <w:szCs w:val="24"/>
        </w:rPr>
        <w:t>Změna</w:t>
      </w:r>
      <w:r w:rsidR="00710731" w:rsidRPr="00447C62">
        <w:rPr>
          <w:b/>
          <w:color w:val="auto"/>
          <w:szCs w:val="24"/>
        </w:rPr>
        <w:t xml:space="preserve"> výše základní sazby </w:t>
      </w:r>
      <w:r w:rsidR="00710731" w:rsidRPr="00447C62">
        <w:rPr>
          <w:color w:val="auto"/>
          <w:szCs w:val="24"/>
        </w:rPr>
        <w:t>daně z přidané hodnoty z 20 %</w:t>
      </w:r>
      <w:r w:rsidR="00710731" w:rsidRPr="00447C62">
        <w:rPr>
          <w:b/>
          <w:color w:val="auto"/>
          <w:szCs w:val="24"/>
        </w:rPr>
        <w:t xml:space="preserve"> na 21 %.</w:t>
      </w:r>
    </w:p>
    <w:p w:rsidR="00447C62" w:rsidRDefault="00447C62" w:rsidP="00710731">
      <w:pPr>
        <w:pStyle w:val="Dvodovzprva"/>
        <w:keepNext w:val="0"/>
        <w:rPr>
          <w:b/>
          <w:color w:val="auto"/>
          <w:szCs w:val="24"/>
        </w:rPr>
      </w:pPr>
    </w:p>
    <w:p w:rsidR="00710731" w:rsidRPr="00447C62" w:rsidRDefault="00710731" w:rsidP="00710731">
      <w:pPr>
        <w:pStyle w:val="Dvodovzprva"/>
        <w:keepNext w:val="0"/>
        <w:rPr>
          <w:b/>
          <w:i/>
          <w:color w:val="auto"/>
          <w:szCs w:val="24"/>
        </w:rPr>
      </w:pPr>
      <w:r w:rsidRPr="00447C62">
        <w:rPr>
          <w:b/>
          <w:i/>
          <w:color w:val="auto"/>
          <w:szCs w:val="24"/>
        </w:rPr>
        <w:t xml:space="preserve">§ 37 odst. 2 </w:t>
      </w:r>
      <w:r w:rsidR="00447C62" w:rsidRPr="00447C62">
        <w:rPr>
          <w:b/>
          <w:i/>
          <w:color w:val="auto"/>
          <w:szCs w:val="24"/>
        </w:rPr>
        <w:t>a § 47 odst. 1 písm. b)</w:t>
      </w:r>
    </w:p>
    <w:p w:rsidR="00710731" w:rsidRPr="00447C62" w:rsidRDefault="00447C62" w:rsidP="00710731">
      <w:pPr>
        <w:pStyle w:val="Dvodovzprva"/>
        <w:keepNext w:val="0"/>
        <w:rPr>
          <w:b/>
          <w:color w:val="auto"/>
          <w:szCs w:val="24"/>
        </w:rPr>
      </w:pPr>
      <w:r w:rsidRPr="00447C62">
        <w:rPr>
          <w:b/>
          <w:color w:val="auto"/>
          <w:szCs w:val="24"/>
        </w:rPr>
        <w:t>Změna</w:t>
      </w:r>
      <w:r w:rsidR="00710731" w:rsidRPr="00447C62">
        <w:rPr>
          <w:b/>
          <w:color w:val="auto"/>
          <w:szCs w:val="24"/>
        </w:rPr>
        <w:t xml:space="preserve"> výše snížené sazby </w:t>
      </w:r>
      <w:r w:rsidR="00710731" w:rsidRPr="00447C62">
        <w:rPr>
          <w:color w:val="auto"/>
          <w:szCs w:val="24"/>
        </w:rPr>
        <w:t>daně z přidané hodnoty z 14 %</w:t>
      </w:r>
      <w:r w:rsidR="00710731" w:rsidRPr="00447C62">
        <w:rPr>
          <w:b/>
          <w:color w:val="auto"/>
          <w:szCs w:val="24"/>
        </w:rPr>
        <w:t xml:space="preserve"> na 15 %.</w:t>
      </w:r>
    </w:p>
    <w:p w:rsidR="00710731" w:rsidRPr="00447C62" w:rsidRDefault="00710731" w:rsidP="00710731">
      <w:pPr>
        <w:rPr>
          <w:sz w:val="24"/>
          <w:szCs w:val="24"/>
        </w:rPr>
      </w:pPr>
    </w:p>
    <w:p w:rsidR="00710731" w:rsidRPr="00447C62" w:rsidRDefault="00447C62" w:rsidP="00710731">
      <w:pPr>
        <w:pStyle w:val="Dvodovzprva"/>
        <w:keepNext w:val="0"/>
        <w:rPr>
          <w:b/>
          <w:i/>
          <w:color w:val="auto"/>
          <w:szCs w:val="24"/>
        </w:rPr>
      </w:pPr>
      <w:r w:rsidRPr="00447C62">
        <w:rPr>
          <w:b/>
          <w:i/>
          <w:color w:val="auto"/>
          <w:szCs w:val="24"/>
        </w:rPr>
        <w:t>§ 37a</w:t>
      </w:r>
    </w:p>
    <w:p w:rsidR="00710731" w:rsidRPr="00447C62" w:rsidRDefault="00710731" w:rsidP="00710731">
      <w:pPr>
        <w:pStyle w:val="Dvodovzprva"/>
        <w:keepNext w:val="0"/>
        <w:rPr>
          <w:color w:val="auto"/>
          <w:szCs w:val="24"/>
        </w:rPr>
      </w:pPr>
      <w:r w:rsidRPr="00447C62">
        <w:rPr>
          <w:color w:val="auto"/>
          <w:szCs w:val="24"/>
        </w:rPr>
        <w:t xml:space="preserve">Nové ustanovení § 37a řeší </w:t>
      </w:r>
      <w:r w:rsidRPr="00447C62">
        <w:rPr>
          <w:b/>
          <w:color w:val="auto"/>
          <w:szCs w:val="24"/>
        </w:rPr>
        <w:t>pravidla pro určení základu daně a výše daně v případě vypořádání záloh za zdanitelná plnění</w:t>
      </w:r>
      <w:r w:rsidR="00447C62">
        <w:rPr>
          <w:color w:val="auto"/>
          <w:szCs w:val="24"/>
        </w:rPr>
        <w:t xml:space="preserve"> (</w:t>
      </w:r>
      <w:r w:rsidRPr="00447C62">
        <w:rPr>
          <w:color w:val="auto"/>
          <w:szCs w:val="24"/>
        </w:rPr>
        <w:t>v dosavadním zákoně řešena v § 37 odst. 3</w:t>
      </w:r>
      <w:r w:rsidR="00447C62">
        <w:rPr>
          <w:color w:val="auto"/>
          <w:szCs w:val="24"/>
        </w:rPr>
        <w:t>)</w:t>
      </w:r>
      <w:r w:rsidRPr="00447C62">
        <w:rPr>
          <w:color w:val="auto"/>
          <w:szCs w:val="24"/>
        </w:rPr>
        <w:t xml:space="preserve">. Cílem tohoto ustanovení je zejména stanovit </w:t>
      </w:r>
      <w:r w:rsidRPr="00447C62">
        <w:rPr>
          <w:b/>
          <w:color w:val="auto"/>
          <w:szCs w:val="24"/>
        </w:rPr>
        <w:t>jednoznačná pravidla pro případy, kdy se v průběhu vypořádávaného období měnily sazby daně</w:t>
      </w:r>
      <w:r w:rsidRPr="00447C62">
        <w:rPr>
          <w:color w:val="auto"/>
          <w:szCs w:val="24"/>
        </w:rPr>
        <w:t xml:space="preserve">. </w:t>
      </w:r>
    </w:p>
    <w:p w:rsidR="00710731" w:rsidRPr="00447C62" w:rsidRDefault="00710731" w:rsidP="00710731">
      <w:pPr>
        <w:pStyle w:val="Dvodovzprva"/>
        <w:keepNext w:val="0"/>
        <w:rPr>
          <w:color w:val="auto"/>
          <w:szCs w:val="24"/>
        </w:rPr>
      </w:pPr>
      <w:r w:rsidRPr="00D12DE0">
        <w:rPr>
          <w:i/>
          <w:color w:val="auto"/>
          <w:szCs w:val="24"/>
        </w:rPr>
        <w:t>Odstavec 1</w:t>
      </w:r>
      <w:r w:rsidRPr="00447C62">
        <w:rPr>
          <w:color w:val="auto"/>
          <w:szCs w:val="24"/>
        </w:rPr>
        <w:t xml:space="preserve"> obsahuje pravidlo pro </w:t>
      </w:r>
      <w:r w:rsidRPr="00D12DE0">
        <w:rPr>
          <w:b/>
          <w:color w:val="auto"/>
          <w:szCs w:val="24"/>
        </w:rPr>
        <w:t>určení základu daně, kterým je v těchto případech rozdíl mezi základem daně podle § 36 odst. 1</w:t>
      </w:r>
      <w:r w:rsidRPr="00447C62">
        <w:rPr>
          <w:color w:val="auto"/>
          <w:szCs w:val="24"/>
        </w:rPr>
        <w:t xml:space="preserve"> (tedy úplatou, kterou plátce má obdržet celkem za uskutečněné plnění, bez daně za toto plnění) </w:t>
      </w:r>
      <w:r w:rsidRPr="00D12DE0">
        <w:rPr>
          <w:b/>
          <w:color w:val="auto"/>
          <w:szCs w:val="24"/>
        </w:rPr>
        <w:t xml:space="preserve">a souhrnem základů daně podle § 36 odst. 2 </w:t>
      </w:r>
      <w:r w:rsidRPr="00447C62">
        <w:rPr>
          <w:color w:val="auto"/>
          <w:szCs w:val="24"/>
        </w:rPr>
        <w:t xml:space="preserve">(tedy součtem obdržených záloh, snížených o daň z těchto záloh). Na rozdíl od dosavadního znění § 37 odst. 3 </w:t>
      </w:r>
      <w:r w:rsidRPr="00D12DE0">
        <w:rPr>
          <w:b/>
          <w:color w:val="auto"/>
          <w:szCs w:val="24"/>
        </w:rPr>
        <w:t>není v těchto případech obecně umožněno použít pro účely výpočtu daně rozdíl celkových úplat</w:t>
      </w:r>
      <w:r w:rsidRPr="00447C62">
        <w:rPr>
          <w:color w:val="auto"/>
          <w:szCs w:val="24"/>
        </w:rPr>
        <w:t xml:space="preserve"> (včetně daně), neboť v případě změny sazby daně může docházet k odlišným výsledkům podle použité varianty výpočtu základu daně. </w:t>
      </w:r>
    </w:p>
    <w:p w:rsidR="00710731" w:rsidRPr="00D12DE0" w:rsidRDefault="00D12DE0" w:rsidP="00710731">
      <w:pPr>
        <w:pStyle w:val="Dvodovzprva"/>
        <w:keepNext w:val="0"/>
        <w:rPr>
          <w:color w:val="auto"/>
          <w:szCs w:val="24"/>
        </w:rPr>
      </w:pPr>
      <w:r w:rsidRPr="00D12DE0">
        <w:rPr>
          <w:i/>
          <w:color w:val="auto"/>
          <w:szCs w:val="24"/>
        </w:rPr>
        <w:t>O</w:t>
      </w:r>
      <w:r w:rsidR="00710731" w:rsidRPr="00D12DE0">
        <w:rPr>
          <w:i/>
          <w:color w:val="auto"/>
          <w:szCs w:val="24"/>
        </w:rPr>
        <w:t>dstav</w:t>
      </w:r>
      <w:r w:rsidRPr="00D12DE0">
        <w:rPr>
          <w:i/>
          <w:color w:val="auto"/>
          <w:szCs w:val="24"/>
        </w:rPr>
        <w:t>ec</w:t>
      </w:r>
      <w:r w:rsidR="00710731" w:rsidRPr="00D12DE0">
        <w:rPr>
          <w:i/>
          <w:color w:val="auto"/>
          <w:szCs w:val="24"/>
        </w:rPr>
        <w:t xml:space="preserve"> 2</w:t>
      </w:r>
      <w:r w:rsidR="00710731" w:rsidRPr="00447C62">
        <w:rPr>
          <w:color w:val="auto"/>
          <w:szCs w:val="24"/>
        </w:rPr>
        <w:t xml:space="preserve"> uprav</w:t>
      </w:r>
      <w:r>
        <w:rPr>
          <w:color w:val="auto"/>
          <w:szCs w:val="24"/>
        </w:rPr>
        <w:t>uje</w:t>
      </w:r>
      <w:r w:rsidR="00710731" w:rsidRPr="00447C62">
        <w:rPr>
          <w:color w:val="auto"/>
          <w:szCs w:val="24"/>
        </w:rPr>
        <w:t xml:space="preserve"> základní pravidla pro </w:t>
      </w:r>
      <w:r w:rsidR="00710731" w:rsidRPr="00D12DE0">
        <w:rPr>
          <w:b/>
          <w:color w:val="auto"/>
          <w:szCs w:val="24"/>
        </w:rPr>
        <w:t>určení sazby daně, která má být při vypořádání uplatněna</w:t>
      </w:r>
      <w:r w:rsidR="00710731" w:rsidRPr="00447C62">
        <w:rPr>
          <w:color w:val="auto"/>
          <w:szCs w:val="24"/>
        </w:rPr>
        <w:t xml:space="preserve">. Uplatnění sazby daně se liší podle toho, zda je vypočtený základ daně kladný nebo záporný. </w:t>
      </w:r>
      <w:r w:rsidR="00710731" w:rsidRPr="00D12DE0">
        <w:rPr>
          <w:b/>
          <w:color w:val="auto"/>
          <w:szCs w:val="24"/>
        </w:rPr>
        <w:t>V</w:t>
      </w:r>
      <w:r>
        <w:rPr>
          <w:b/>
          <w:color w:val="auto"/>
          <w:szCs w:val="24"/>
        </w:rPr>
        <w:t xml:space="preserve"> případě kladného základu daně </w:t>
      </w:r>
      <w:r>
        <w:rPr>
          <w:color w:val="auto"/>
          <w:szCs w:val="24"/>
        </w:rPr>
        <w:t>(</w:t>
      </w:r>
      <w:r w:rsidR="00710731" w:rsidRPr="00D12DE0">
        <w:rPr>
          <w:color w:val="auto"/>
          <w:szCs w:val="24"/>
        </w:rPr>
        <w:t xml:space="preserve">odběratel doplácí dodavateli nedoplatek) se uplatní sazba daně platná ke dni uskutečnění zdanitelného plnění. </w:t>
      </w:r>
    </w:p>
    <w:p w:rsidR="00710731" w:rsidRPr="00447C62" w:rsidRDefault="00710731" w:rsidP="00710731">
      <w:pPr>
        <w:pStyle w:val="Dvodovzprva"/>
        <w:keepNext w:val="0"/>
        <w:rPr>
          <w:color w:val="auto"/>
          <w:szCs w:val="24"/>
        </w:rPr>
      </w:pPr>
      <w:r w:rsidRPr="00D12DE0">
        <w:rPr>
          <w:b/>
          <w:color w:val="auto"/>
          <w:szCs w:val="24"/>
        </w:rPr>
        <w:lastRenderedPageBreak/>
        <w:t>V případě záporného základu daně</w:t>
      </w:r>
      <w:r w:rsidRPr="00447C62">
        <w:rPr>
          <w:color w:val="auto"/>
          <w:szCs w:val="24"/>
        </w:rPr>
        <w:t xml:space="preserve"> (dodavatel vrací odběrateli přeplatek) se uplatní sazba daně, která byla uplatněna při přijetí úplaty přede dnem uskutečnění zdanitelného plnění, tedy sazba použitá při výpočtu daně u zálohy. Toto pravidlo však platí obecně pouze pro případy, kdy byla před uskutečněním plnění zaplacena pouze jediná záloha, nebo kdy byla u všech přijatých záloh uplatněna stejná sazba daně.</w:t>
      </w:r>
    </w:p>
    <w:p w:rsidR="00710731" w:rsidRPr="00447C62" w:rsidRDefault="00710731" w:rsidP="00710731">
      <w:pPr>
        <w:pStyle w:val="Dvodovzprva"/>
        <w:keepNext w:val="0"/>
        <w:rPr>
          <w:color w:val="auto"/>
          <w:szCs w:val="24"/>
        </w:rPr>
      </w:pPr>
      <w:r w:rsidRPr="00D12DE0">
        <w:rPr>
          <w:i/>
          <w:color w:val="auto"/>
          <w:szCs w:val="24"/>
        </w:rPr>
        <w:t>Odstavec 3</w:t>
      </w:r>
      <w:r w:rsidRPr="00447C62">
        <w:rPr>
          <w:color w:val="auto"/>
          <w:szCs w:val="24"/>
        </w:rPr>
        <w:t xml:space="preserve"> upravuje </w:t>
      </w:r>
      <w:r w:rsidRPr="00D12DE0">
        <w:rPr>
          <w:b/>
          <w:color w:val="auto"/>
          <w:szCs w:val="24"/>
        </w:rPr>
        <w:t>situace, kdy bylo před uskutečněním plnění přijato více záloh, přičemž souhrn záloh je vyšší než hodnota plnění a zároveň byly u těchto záloh uplatněny různé sazby daně</w:t>
      </w:r>
      <w:r w:rsidRPr="00447C62">
        <w:rPr>
          <w:color w:val="auto"/>
          <w:szCs w:val="24"/>
        </w:rPr>
        <w:t>. V těchto případech se při uskutečnění zdanitelného plnění uplatní sazby daně, které byly uplatněny při přijetí úplat, „a to pro tu část z každé přijaté úplaty, o kterou byl danou úplatou navýšen kladný rozdíl mezi souhrnem základů daně podle § 36 odst. 2 a základem daně podle § 36 odst. 1.“ „Navýšení kladného rozdílu“ v podstatě znamená, že by plátce měl u každé ze záloh postupně (od první zálohy chronologicky) zjišťovat, jaký je kumulativní součet všech záloh. U zálohy, u které tento kumulativní součet převýší hodnotu plnění podle § 36 odst. 1, bude při výpočtu daně z celkového přeplatku zohledněna částka odpovídající rozdílu mezi kumulativním součtem záloh a hodnotou plnění, a u všech následujících záloh bude zohledněna celá hodnota zálohy. Pro každou takto určenou část základu daně se uplatní sazby daně, které byly uplatněny při přijetí příslušných záloh.</w:t>
      </w:r>
    </w:p>
    <w:p w:rsidR="00447C62" w:rsidRDefault="00710731" w:rsidP="00447C62">
      <w:pPr>
        <w:pStyle w:val="Dvodovzprva"/>
        <w:keepNext w:val="0"/>
        <w:rPr>
          <w:color w:val="auto"/>
          <w:szCs w:val="24"/>
        </w:rPr>
      </w:pPr>
      <w:r w:rsidRPr="00447C62">
        <w:rPr>
          <w:color w:val="auto"/>
          <w:szCs w:val="24"/>
        </w:rPr>
        <w:t>V praxi lze tedy říct, že se základ daně rozdělí na části připadající na částky, o které jedna nebo případně více posledních jednotlivých úplat „přeplatila“ hodnotu plnění, (jakou částí se každá záloha podílí na vytvořeném přeplatku) a u těchto jednotlivých částek se použije vždy sazba daně, která byla uplatněna u příslušné zálohy.</w:t>
      </w:r>
    </w:p>
    <w:p w:rsidR="00447C62" w:rsidRDefault="00447C62" w:rsidP="00447C62">
      <w:pPr>
        <w:pStyle w:val="Dvodovzprva"/>
        <w:keepNext w:val="0"/>
        <w:rPr>
          <w:color w:val="auto"/>
          <w:szCs w:val="24"/>
        </w:rPr>
      </w:pPr>
    </w:p>
    <w:p w:rsidR="00447C62" w:rsidRPr="00D12DE0" w:rsidRDefault="00D12DE0" w:rsidP="00447C62">
      <w:pPr>
        <w:pStyle w:val="Dvodovzprva"/>
        <w:keepNext w:val="0"/>
        <w:rPr>
          <w:b/>
          <w:i/>
          <w:color w:val="auto"/>
          <w:szCs w:val="24"/>
        </w:rPr>
      </w:pPr>
      <w:r w:rsidRPr="00D12DE0">
        <w:rPr>
          <w:b/>
          <w:i/>
          <w:color w:val="auto"/>
          <w:szCs w:val="24"/>
        </w:rPr>
        <w:t>§ 74 odst. 3</w:t>
      </w:r>
    </w:p>
    <w:p w:rsidR="00710731" w:rsidRPr="00447C62" w:rsidRDefault="00447C62" w:rsidP="00447C62">
      <w:pPr>
        <w:pStyle w:val="Dvodovzprva"/>
        <w:keepNext w:val="0"/>
        <w:rPr>
          <w:color w:val="auto"/>
          <w:szCs w:val="24"/>
        </w:rPr>
      </w:pPr>
      <w:r w:rsidRPr="00447C62">
        <w:rPr>
          <w:color w:val="auto"/>
          <w:szCs w:val="24"/>
        </w:rPr>
        <w:t>V případě přijetí zdanitelného plnění, u nějž se základ daně a výše daně vypočte podle § 37a, se bude postupovat obdobně jako při opravě základu daně a výše daně podle § 42. I v těchto případech je tak plátce, příjemce plnění, povinen, provést opravu odpočtu daně, dojde-li ke snížení uplatněného odpočtu daně (v případě, že základ daně podle § 37a je záporný).</w:t>
      </w:r>
    </w:p>
    <w:p w:rsidR="00D12DE0" w:rsidRDefault="00D12DE0" w:rsidP="00710731">
      <w:pPr>
        <w:autoSpaceDE w:val="0"/>
        <w:autoSpaceDN w:val="0"/>
        <w:adjustRightInd w:val="0"/>
        <w:spacing w:after="0"/>
        <w:jc w:val="left"/>
        <w:rPr>
          <w:b/>
          <w:bCs/>
          <w:sz w:val="24"/>
          <w:szCs w:val="24"/>
        </w:rPr>
      </w:pPr>
    </w:p>
    <w:p w:rsidR="00710731" w:rsidRPr="00DC363F" w:rsidRDefault="00710731" w:rsidP="00710731">
      <w:pPr>
        <w:autoSpaceDE w:val="0"/>
        <w:autoSpaceDN w:val="0"/>
        <w:adjustRightInd w:val="0"/>
        <w:spacing w:after="0"/>
        <w:jc w:val="left"/>
        <w:rPr>
          <w:b/>
          <w:bCs/>
          <w:i/>
          <w:sz w:val="24"/>
          <w:szCs w:val="24"/>
        </w:rPr>
      </w:pPr>
      <w:r w:rsidRPr="00DC363F">
        <w:rPr>
          <w:b/>
          <w:bCs/>
          <w:i/>
          <w:sz w:val="24"/>
          <w:szCs w:val="24"/>
        </w:rPr>
        <w:t>Přechodná ustanovení</w:t>
      </w:r>
    </w:p>
    <w:p w:rsidR="00A457A8" w:rsidRPr="00DC363F" w:rsidRDefault="00A457A8" w:rsidP="00710731">
      <w:pPr>
        <w:autoSpaceDE w:val="0"/>
        <w:autoSpaceDN w:val="0"/>
        <w:adjustRightInd w:val="0"/>
        <w:spacing w:after="0"/>
        <w:jc w:val="left"/>
        <w:rPr>
          <w:i/>
          <w:sz w:val="24"/>
          <w:szCs w:val="24"/>
        </w:rPr>
      </w:pPr>
    </w:p>
    <w:p w:rsidR="00A457A8" w:rsidRPr="00A457A8" w:rsidRDefault="00A457A8" w:rsidP="00A457A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A457A8">
        <w:rPr>
          <w:i/>
          <w:sz w:val="24"/>
          <w:szCs w:val="24"/>
        </w:rPr>
        <w:t>Podle 2. bodu</w:t>
      </w:r>
      <w:r>
        <w:rPr>
          <w:sz w:val="24"/>
          <w:szCs w:val="24"/>
        </w:rPr>
        <w:t xml:space="preserve"> p</w:t>
      </w:r>
      <w:r w:rsidRPr="00A457A8">
        <w:rPr>
          <w:sz w:val="24"/>
          <w:szCs w:val="24"/>
        </w:rPr>
        <w:t xml:space="preserve">ři </w:t>
      </w:r>
      <w:r w:rsidRPr="00A457A8">
        <w:rPr>
          <w:b/>
          <w:sz w:val="24"/>
          <w:szCs w:val="24"/>
        </w:rPr>
        <w:t>dodání vody, tepla</w:t>
      </w:r>
      <w:r w:rsidRPr="00A457A8">
        <w:rPr>
          <w:sz w:val="24"/>
          <w:szCs w:val="24"/>
        </w:rPr>
        <w:t xml:space="preserve"> nebo chladu a při poskytnutí služby spojené s odváděním a čištěním, případně zneškodňováním odpadních vod, kdy se spotřeba vyúčtovává za zúčtovací období, které bude zahrnovat jak období, kdy platí snížená sazba v dosavadní výši 14 %, tak období, kdy již bude platit snížená sazba daně ve výši 15 %, </w:t>
      </w:r>
      <w:r>
        <w:rPr>
          <w:sz w:val="24"/>
          <w:szCs w:val="24"/>
        </w:rPr>
        <w:t>mohou</w:t>
      </w:r>
      <w:r w:rsidRPr="00A457A8">
        <w:rPr>
          <w:sz w:val="24"/>
          <w:szCs w:val="24"/>
        </w:rPr>
        <w:t xml:space="preserve"> plátci daně stanovit výši spotřeby samostatně za tato dvě časová období, a to buď na základě odečtu z měřících zařízení, nebo na základě propočtu spotřeby. </w:t>
      </w:r>
      <w:r>
        <w:rPr>
          <w:sz w:val="24"/>
          <w:szCs w:val="24"/>
        </w:rPr>
        <w:t>Je</w:t>
      </w:r>
      <w:r w:rsidRPr="00A457A8">
        <w:rPr>
          <w:sz w:val="24"/>
          <w:szCs w:val="24"/>
        </w:rPr>
        <w:t xml:space="preserve"> tak umožněno při vyúčtování spotřeby za příslušné období přede dnem nabytí účinnosti novely zákona (tj. za období končící dnem 31. prosince 2012) použít dosavadní sníženou sazbu daně (14 %) a za období ode dne nabytí účinnosti novely zákona (tj. od 1. ledna 2013) vyšší sníženou sazbu daně (15 %).</w:t>
      </w:r>
    </w:p>
    <w:p w:rsidR="00A457A8" w:rsidRPr="00A457A8" w:rsidRDefault="00A457A8" w:rsidP="00A457A8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A457A8">
        <w:rPr>
          <w:sz w:val="24"/>
          <w:szCs w:val="24"/>
        </w:rPr>
        <w:t xml:space="preserve">Rovněž se </w:t>
      </w:r>
      <w:r>
        <w:rPr>
          <w:sz w:val="24"/>
          <w:szCs w:val="24"/>
        </w:rPr>
        <w:t>umožňuje</w:t>
      </w:r>
      <w:r w:rsidRPr="00A457A8">
        <w:rPr>
          <w:sz w:val="24"/>
          <w:szCs w:val="24"/>
        </w:rPr>
        <w:t xml:space="preserve">, aby plátce uplatnil sníženou sazbu daně u spotřeby výlučně se vztahující ke skutečné spotřebě za období přede dnem nabytí účinnosti zákona (tj. za období do 31. prosince 2012), a to i v případě, kdy ke zjištění skutečné spotřeby dojde až ode dne nabytí účinnosti zákona (tj. od 1. ledna 2013). Toto opatření nově umožní i u tzv. </w:t>
      </w:r>
      <w:proofErr w:type="spellStart"/>
      <w:r w:rsidRPr="00A457A8">
        <w:rPr>
          <w:sz w:val="24"/>
          <w:szCs w:val="24"/>
        </w:rPr>
        <w:t>přefakturace</w:t>
      </w:r>
      <w:proofErr w:type="spellEnd"/>
      <w:r w:rsidRPr="00A457A8">
        <w:rPr>
          <w:sz w:val="24"/>
          <w:szCs w:val="24"/>
        </w:rPr>
        <w:t xml:space="preserve"> použít sníženou sazbu platnou pro období, kterého se </w:t>
      </w:r>
      <w:r w:rsidRPr="00A457A8">
        <w:rPr>
          <w:sz w:val="24"/>
          <w:szCs w:val="24"/>
        </w:rPr>
        <w:lastRenderedPageBreak/>
        <w:t>týká, i v případě, že dojde k </w:t>
      </w:r>
      <w:proofErr w:type="spellStart"/>
      <w:r w:rsidRPr="00A457A8">
        <w:rPr>
          <w:sz w:val="24"/>
          <w:szCs w:val="24"/>
        </w:rPr>
        <w:t>přefakturaci</w:t>
      </w:r>
      <w:proofErr w:type="spellEnd"/>
      <w:r w:rsidRPr="00A457A8">
        <w:rPr>
          <w:sz w:val="24"/>
          <w:szCs w:val="24"/>
        </w:rPr>
        <w:t xml:space="preserve"> ode dne nabytí účinnosti zákona (tj. od 1. ledna 2013).</w:t>
      </w:r>
    </w:p>
    <w:p w:rsidR="00A457A8" w:rsidRPr="00A457A8" w:rsidRDefault="00DC363F" w:rsidP="00A457A8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Dále se stanoví</w:t>
      </w:r>
      <w:r w:rsidR="00A457A8" w:rsidRPr="00A457A8">
        <w:rPr>
          <w:sz w:val="24"/>
          <w:szCs w:val="24"/>
        </w:rPr>
        <w:t xml:space="preserve"> pravidla pro určení základu daně a výše daně v případě vypořádání záloh za zdanitelná plnění, a to podle § 37a zákona č. 235/2004 Sb., ve znění účinném od 1. ledna 2013. </w:t>
      </w:r>
    </w:p>
    <w:p w:rsidR="00A457A8" w:rsidRPr="00A457A8" w:rsidRDefault="00A457A8" w:rsidP="00DC363F">
      <w:pPr>
        <w:autoSpaceDE w:val="0"/>
        <w:autoSpaceDN w:val="0"/>
        <w:adjustRightInd w:val="0"/>
        <w:spacing w:after="0"/>
        <w:jc w:val="left"/>
        <w:rPr>
          <w:sz w:val="24"/>
          <w:szCs w:val="24"/>
        </w:rPr>
      </w:pPr>
    </w:p>
    <w:p w:rsidR="00A457A8" w:rsidRPr="00A457A8" w:rsidRDefault="00DC363F" w:rsidP="00DC363F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A457A8">
        <w:rPr>
          <w:i/>
          <w:sz w:val="24"/>
          <w:szCs w:val="24"/>
        </w:rPr>
        <w:t>Podle</w:t>
      </w:r>
      <w:r>
        <w:rPr>
          <w:i/>
          <w:sz w:val="24"/>
          <w:szCs w:val="24"/>
        </w:rPr>
        <w:t xml:space="preserve"> 3</w:t>
      </w:r>
      <w:r w:rsidRPr="00A457A8">
        <w:rPr>
          <w:i/>
          <w:sz w:val="24"/>
          <w:szCs w:val="24"/>
        </w:rPr>
        <w:t>. bodu</w:t>
      </w:r>
      <w:r>
        <w:rPr>
          <w:sz w:val="24"/>
          <w:szCs w:val="24"/>
        </w:rPr>
        <w:t xml:space="preserve"> </w:t>
      </w:r>
      <w:r w:rsidR="00A457A8" w:rsidRPr="00A457A8">
        <w:rPr>
          <w:sz w:val="24"/>
          <w:szCs w:val="24"/>
        </w:rPr>
        <w:t xml:space="preserve">při </w:t>
      </w:r>
      <w:r w:rsidR="00A457A8" w:rsidRPr="00DC363F">
        <w:rPr>
          <w:b/>
          <w:sz w:val="24"/>
          <w:szCs w:val="24"/>
        </w:rPr>
        <w:t>dodání elektřiny, plynu</w:t>
      </w:r>
      <w:r w:rsidR="00A457A8" w:rsidRPr="00A457A8">
        <w:rPr>
          <w:sz w:val="24"/>
          <w:szCs w:val="24"/>
        </w:rPr>
        <w:t xml:space="preserve"> a při poskytnutí telekomunikačních služeb, přepravy a distribuci plynu, přenosu a distribuci elektřiny, kdy se spotřeba vyúčtovává za zúčtovací období, které bude zahrnovat jak období, kdy platí základní sazba v dosavadní výši 20 %, tak období, kdy již bude platit základní sazba daně ve výši 21 %, </w:t>
      </w:r>
      <w:r>
        <w:rPr>
          <w:sz w:val="24"/>
          <w:szCs w:val="24"/>
        </w:rPr>
        <w:t>mohou</w:t>
      </w:r>
      <w:r w:rsidR="00A457A8" w:rsidRPr="00A457A8">
        <w:rPr>
          <w:sz w:val="24"/>
          <w:szCs w:val="24"/>
        </w:rPr>
        <w:t xml:space="preserve"> plátci daně stanovit výši spotřeby samostatně za tato dvě časová období, a to buď na základě odečtu z měřících zařízení, nebo na základě propočtu spotřeby a </w:t>
      </w:r>
      <w:r>
        <w:rPr>
          <w:sz w:val="24"/>
          <w:szCs w:val="24"/>
        </w:rPr>
        <w:t>mohou</w:t>
      </w:r>
      <w:r w:rsidR="00A457A8" w:rsidRPr="00A457A8">
        <w:rPr>
          <w:sz w:val="24"/>
          <w:szCs w:val="24"/>
        </w:rPr>
        <w:t xml:space="preserve"> tak při vyúčtování spotřeby za příslušné období přede dnem nabytí účinnosti novely zákona (tj. za období končící dnem 31. prosince 2012) použít dosavadní základní sazbu daně (20 %) a za období ode dne nabytí účinnosti novely zákona (tj. od 1. ledna 2013) vyšší základní sazbu daně (21 %).</w:t>
      </w:r>
    </w:p>
    <w:p w:rsidR="00A457A8" w:rsidRPr="00A457A8" w:rsidRDefault="00DC363F" w:rsidP="00DC363F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Umožňuje se</w:t>
      </w:r>
      <w:r w:rsidR="00A457A8" w:rsidRPr="00A457A8">
        <w:rPr>
          <w:sz w:val="24"/>
          <w:szCs w:val="24"/>
        </w:rPr>
        <w:t>, aby plátce uplatnil základní sazbu daně u spotřeby výlučně se vztahující ke skutečné spotřebě za období přede dnem nabytí účinnosti zákona (tj. za období do 31. prosince 2012), a to i v případě, kdy ke zjištění skutečné spotřeby dojde až ode dne nabytí účinnosti zákona (tj. od 1. ledna 2013). Toto opatření nově umožní i u tzv. </w:t>
      </w:r>
      <w:proofErr w:type="spellStart"/>
      <w:r w:rsidR="00A457A8" w:rsidRPr="00A457A8">
        <w:rPr>
          <w:sz w:val="24"/>
          <w:szCs w:val="24"/>
        </w:rPr>
        <w:t>přefakturace</w:t>
      </w:r>
      <w:proofErr w:type="spellEnd"/>
      <w:r w:rsidR="00A457A8" w:rsidRPr="00A457A8">
        <w:rPr>
          <w:sz w:val="24"/>
          <w:szCs w:val="24"/>
        </w:rPr>
        <w:t xml:space="preserve"> použít základní sazbu platnou pro období, kterého se týká, i v případě, že dojde k </w:t>
      </w:r>
      <w:proofErr w:type="spellStart"/>
      <w:r w:rsidR="00A457A8" w:rsidRPr="00A457A8">
        <w:rPr>
          <w:sz w:val="24"/>
          <w:szCs w:val="24"/>
        </w:rPr>
        <w:t>přefakturaci</w:t>
      </w:r>
      <w:proofErr w:type="spellEnd"/>
      <w:r w:rsidR="00A457A8" w:rsidRPr="00A457A8">
        <w:rPr>
          <w:sz w:val="24"/>
          <w:szCs w:val="24"/>
        </w:rPr>
        <w:t xml:space="preserve"> ode dne nabytí účinnosti zákona (tj. od 1. ledna 2013).</w:t>
      </w:r>
    </w:p>
    <w:p w:rsidR="00A457A8" w:rsidRPr="00A457A8" w:rsidRDefault="00DC363F" w:rsidP="00DC363F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sz w:val="24"/>
          <w:szCs w:val="24"/>
        </w:rPr>
        <w:t>Dále se stanoví</w:t>
      </w:r>
      <w:r w:rsidR="00A457A8" w:rsidRPr="00A457A8">
        <w:rPr>
          <w:sz w:val="24"/>
          <w:szCs w:val="24"/>
        </w:rPr>
        <w:t xml:space="preserve"> pravidla pro určení základu daně a výše daně v případě vypořádání záloh za zdanitelná plnění, a to podle § 37a zákona č. 235/2004 Sb., ve znění účinném od 1. ledna 2013. </w:t>
      </w:r>
    </w:p>
    <w:p w:rsidR="00DC363F" w:rsidRDefault="00DC363F" w:rsidP="00710731">
      <w:pPr>
        <w:autoSpaceDE w:val="0"/>
        <w:autoSpaceDN w:val="0"/>
        <w:adjustRightInd w:val="0"/>
        <w:spacing w:after="0"/>
        <w:jc w:val="left"/>
        <w:rPr>
          <w:b/>
          <w:bCs/>
          <w:sz w:val="24"/>
          <w:szCs w:val="24"/>
        </w:rPr>
      </w:pPr>
    </w:p>
    <w:p w:rsidR="00DC363F" w:rsidRDefault="00DC363F" w:rsidP="00710731">
      <w:pPr>
        <w:autoSpaceDE w:val="0"/>
        <w:autoSpaceDN w:val="0"/>
        <w:adjustRightInd w:val="0"/>
        <w:spacing w:after="0"/>
        <w:jc w:val="left"/>
        <w:rPr>
          <w:b/>
          <w:bCs/>
          <w:sz w:val="24"/>
          <w:szCs w:val="24"/>
        </w:rPr>
      </w:pPr>
    </w:p>
    <w:p w:rsidR="00DC363F" w:rsidRDefault="00DC363F" w:rsidP="00DC363F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  <w:u w:val="single"/>
        </w:rPr>
      </w:pPr>
    </w:p>
    <w:p w:rsidR="00DC363F" w:rsidRPr="00DC363F" w:rsidRDefault="00DC363F" w:rsidP="00DC363F">
      <w:pPr>
        <w:jc w:val="center"/>
        <w:rPr>
          <w:b/>
          <w:bCs/>
          <w:sz w:val="24"/>
          <w:szCs w:val="24"/>
          <w:u w:val="single"/>
        </w:rPr>
      </w:pPr>
      <w:r w:rsidRPr="00DC363F">
        <w:rPr>
          <w:b/>
          <w:bCs/>
          <w:sz w:val="24"/>
          <w:szCs w:val="24"/>
          <w:u w:val="single"/>
        </w:rPr>
        <w:t>ČÁST ČTVRTÁ</w:t>
      </w:r>
    </w:p>
    <w:p w:rsidR="00710731" w:rsidRDefault="00DC363F" w:rsidP="00DC363F">
      <w:pPr>
        <w:jc w:val="center"/>
        <w:rPr>
          <w:b/>
          <w:bCs/>
          <w:sz w:val="24"/>
          <w:szCs w:val="24"/>
          <w:u w:val="single"/>
        </w:rPr>
      </w:pPr>
      <w:r w:rsidRPr="00DC363F">
        <w:rPr>
          <w:b/>
          <w:bCs/>
          <w:sz w:val="24"/>
          <w:szCs w:val="24"/>
          <w:u w:val="single"/>
        </w:rPr>
        <w:t>Změna zákona o dani dědické, dani darovací</w:t>
      </w:r>
      <w:r>
        <w:rPr>
          <w:b/>
          <w:bCs/>
          <w:sz w:val="24"/>
          <w:szCs w:val="24"/>
          <w:u w:val="single"/>
        </w:rPr>
        <w:t xml:space="preserve"> </w:t>
      </w:r>
      <w:r w:rsidRPr="00DC363F">
        <w:rPr>
          <w:b/>
          <w:bCs/>
          <w:sz w:val="24"/>
          <w:szCs w:val="24"/>
          <w:u w:val="single"/>
        </w:rPr>
        <w:t>a dani z převodu nemovitostí</w:t>
      </w:r>
    </w:p>
    <w:p w:rsidR="00DC363F" w:rsidRDefault="00DC363F" w:rsidP="00DC363F">
      <w:pPr>
        <w:jc w:val="center"/>
        <w:rPr>
          <w:b/>
          <w:bCs/>
          <w:sz w:val="24"/>
          <w:szCs w:val="24"/>
          <w:u w:val="single"/>
        </w:rPr>
      </w:pPr>
    </w:p>
    <w:p w:rsidR="00755B1A" w:rsidRPr="00755B1A" w:rsidRDefault="00755B1A" w:rsidP="00DC363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§ 15</w:t>
      </w:r>
    </w:p>
    <w:p w:rsidR="00DC363F" w:rsidRPr="00DC363F" w:rsidRDefault="00755B1A" w:rsidP="00755B1A">
      <w:pPr>
        <w:rPr>
          <w:sz w:val="24"/>
          <w:szCs w:val="24"/>
        </w:rPr>
      </w:pPr>
      <w:r>
        <w:rPr>
          <w:sz w:val="24"/>
          <w:szCs w:val="24"/>
        </w:rPr>
        <w:t>Zvyšuje se</w:t>
      </w:r>
      <w:r w:rsidR="00DC363F" w:rsidRPr="00DC363F">
        <w:rPr>
          <w:sz w:val="24"/>
          <w:szCs w:val="24"/>
        </w:rPr>
        <w:t xml:space="preserve"> </w:t>
      </w:r>
      <w:r w:rsidR="00DC363F" w:rsidRPr="00755B1A">
        <w:rPr>
          <w:b/>
          <w:sz w:val="24"/>
          <w:szCs w:val="24"/>
        </w:rPr>
        <w:t>sazb</w:t>
      </w:r>
      <w:r w:rsidRPr="00755B1A">
        <w:rPr>
          <w:b/>
          <w:sz w:val="24"/>
          <w:szCs w:val="24"/>
        </w:rPr>
        <w:t>a</w:t>
      </w:r>
      <w:r w:rsidR="00DC363F" w:rsidRPr="00755B1A">
        <w:rPr>
          <w:b/>
          <w:sz w:val="24"/>
          <w:szCs w:val="24"/>
        </w:rPr>
        <w:t xml:space="preserve"> daně z převodu nemovitostí</w:t>
      </w:r>
      <w:r w:rsidR="00DC363F" w:rsidRPr="00DC363F">
        <w:rPr>
          <w:sz w:val="24"/>
          <w:szCs w:val="24"/>
        </w:rPr>
        <w:t xml:space="preserve"> o 1 procentní bod</w:t>
      </w:r>
      <w:r>
        <w:rPr>
          <w:sz w:val="24"/>
          <w:szCs w:val="24"/>
        </w:rPr>
        <w:t xml:space="preserve"> – z dosavadních</w:t>
      </w:r>
      <w:r w:rsidR="00DC363F" w:rsidRPr="00DC363F">
        <w:rPr>
          <w:sz w:val="24"/>
          <w:szCs w:val="24"/>
        </w:rPr>
        <w:t xml:space="preserve"> 3 % na 4 %. </w:t>
      </w:r>
    </w:p>
    <w:p w:rsidR="00755B1A" w:rsidRDefault="00755B1A" w:rsidP="00755B1A">
      <w:pPr>
        <w:autoSpaceDE w:val="0"/>
        <w:autoSpaceDN w:val="0"/>
        <w:adjustRightInd w:val="0"/>
        <w:spacing w:after="0"/>
        <w:jc w:val="left"/>
        <w:rPr>
          <w:b/>
          <w:bCs/>
          <w:i/>
          <w:sz w:val="24"/>
          <w:szCs w:val="24"/>
        </w:rPr>
      </w:pPr>
    </w:p>
    <w:p w:rsidR="00755B1A" w:rsidRPr="00755B1A" w:rsidRDefault="00755B1A" w:rsidP="00755B1A">
      <w:pPr>
        <w:pStyle w:val="Bezmezer"/>
        <w:rPr>
          <w:b/>
          <w:i/>
          <w:sz w:val="24"/>
          <w:szCs w:val="24"/>
        </w:rPr>
      </w:pPr>
      <w:r w:rsidRPr="00755B1A">
        <w:rPr>
          <w:b/>
          <w:i/>
          <w:sz w:val="24"/>
          <w:szCs w:val="24"/>
        </w:rPr>
        <w:t>Přechodn</w:t>
      </w:r>
      <w:r w:rsidRPr="00755B1A">
        <w:rPr>
          <w:b/>
          <w:i/>
          <w:sz w:val="24"/>
          <w:szCs w:val="24"/>
        </w:rPr>
        <w:t>é</w:t>
      </w:r>
      <w:r w:rsidRPr="00755B1A">
        <w:rPr>
          <w:b/>
          <w:i/>
          <w:sz w:val="24"/>
          <w:szCs w:val="24"/>
        </w:rPr>
        <w:t xml:space="preserve"> ustanovení</w:t>
      </w:r>
    </w:p>
    <w:p w:rsidR="00755B1A" w:rsidRPr="00755B1A" w:rsidRDefault="00755B1A" w:rsidP="00755B1A">
      <w:pPr>
        <w:pStyle w:val="Bezmezer"/>
        <w:rPr>
          <w:sz w:val="24"/>
          <w:szCs w:val="24"/>
        </w:rPr>
      </w:pPr>
    </w:p>
    <w:p w:rsidR="00DC363F" w:rsidRPr="00755B1A" w:rsidRDefault="00755B1A" w:rsidP="00755B1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</w:t>
      </w:r>
      <w:r w:rsidR="00DC363F" w:rsidRPr="00755B1A">
        <w:rPr>
          <w:sz w:val="24"/>
          <w:szCs w:val="24"/>
        </w:rPr>
        <w:t>kutečnost, která je předmětem daně z převodu nemovitostí (viz § 9 zákona</w:t>
      </w:r>
      <w:bookmarkStart w:id="0" w:name="_GoBack"/>
      <w:bookmarkEnd w:id="0"/>
      <w:r w:rsidR="00DC363F" w:rsidRPr="00755B1A">
        <w:rPr>
          <w:sz w:val="24"/>
          <w:szCs w:val="24"/>
        </w:rPr>
        <w:t>) a vznikla před nabytím účinnosti tohoto zákona, bude zdaňována sazbou 3 %, i když daňové řízení proběhne až po nabytí účinnosti tohoto zákona.</w:t>
      </w:r>
    </w:p>
    <w:sectPr w:rsidR="00DC363F" w:rsidRPr="0075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A80"/>
    <w:multiLevelType w:val="hybridMultilevel"/>
    <w:tmpl w:val="C26C241E"/>
    <w:lvl w:ilvl="0" w:tplc="A8E26F18">
      <w:start w:val="1"/>
      <w:numFmt w:val="decimal"/>
      <w:lvlText w:val="K bodu %1"/>
      <w:lvlJc w:val="left"/>
      <w:pPr>
        <w:tabs>
          <w:tab w:val="num" w:pos="709"/>
        </w:tabs>
        <w:ind w:left="0" w:firstLine="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961DC4"/>
    <w:multiLevelType w:val="hybridMultilevel"/>
    <w:tmpl w:val="03426C8A"/>
    <w:lvl w:ilvl="0" w:tplc="A8E26F18">
      <w:start w:val="1"/>
      <w:numFmt w:val="decimal"/>
      <w:lvlText w:val="K bodu %1"/>
      <w:lvlJc w:val="left"/>
      <w:pPr>
        <w:tabs>
          <w:tab w:val="num" w:pos="709"/>
        </w:tabs>
        <w:ind w:left="0" w:firstLine="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80630">
      <w:start w:val="6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1"/>
    <w:rsid w:val="000109B8"/>
    <w:rsid w:val="00012FCB"/>
    <w:rsid w:val="0001318B"/>
    <w:rsid w:val="00017786"/>
    <w:rsid w:val="00023724"/>
    <w:rsid w:val="00025CDB"/>
    <w:rsid w:val="0003272E"/>
    <w:rsid w:val="000412CA"/>
    <w:rsid w:val="00050F6F"/>
    <w:rsid w:val="0005634A"/>
    <w:rsid w:val="0005756E"/>
    <w:rsid w:val="00061336"/>
    <w:rsid w:val="00072EDA"/>
    <w:rsid w:val="0007354C"/>
    <w:rsid w:val="0007594B"/>
    <w:rsid w:val="00085B8C"/>
    <w:rsid w:val="000B1218"/>
    <w:rsid w:val="000C3855"/>
    <w:rsid w:val="000E64BF"/>
    <w:rsid w:val="0010256B"/>
    <w:rsid w:val="001074AB"/>
    <w:rsid w:val="00122F37"/>
    <w:rsid w:val="001231FB"/>
    <w:rsid w:val="00123577"/>
    <w:rsid w:val="00124338"/>
    <w:rsid w:val="00142531"/>
    <w:rsid w:val="00143672"/>
    <w:rsid w:val="00151DD3"/>
    <w:rsid w:val="00152A8A"/>
    <w:rsid w:val="00160342"/>
    <w:rsid w:val="00166238"/>
    <w:rsid w:val="001875AF"/>
    <w:rsid w:val="00192196"/>
    <w:rsid w:val="001A6D0A"/>
    <w:rsid w:val="001B2346"/>
    <w:rsid w:val="001C1631"/>
    <w:rsid w:val="001C3057"/>
    <w:rsid w:val="001D1B23"/>
    <w:rsid w:val="001D3823"/>
    <w:rsid w:val="001D53AF"/>
    <w:rsid w:val="001E220B"/>
    <w:rsid w:val="001E626A"/>
    <w:rsid w:val="001E7E7C"/>
    <w:rsid w:val="0021289E"/>
    <w:rsid w:val="002204E1"/>
    <w:rsid w:val="002221EE"/>
    <w:rsid w:val="0024745A"/>
    <w:rsid w:val="002528A2"/>
    <w:rsid w:val="002565CC"/>
    <w:rsid w:val="002640BC"/>
    <w:rsid w:val="00284924"/>
    <w:rsid w:val="00285BDF"/>
    <w:rsid w:val="00291291"/>
    <w:rsid w:val="002A1020"/>
    <w:rsid w:val="002A7262"/>
    <w:rsid w:val="002B24BC"/>
    <w:rsid w:val="002B48F3"/>
    <w:rsid w:val="002C16B7"/>
    <w:rsid w:val="002D1435"/>
    <w:rsid w:val="002F3728"/>
    <w:rsid w:val="002F65DA"/>
    <w:rsid w:val="00303FDF"/>
    <w:rsid w:val="00314FF2"/>
    <w:rsid w:val="003373D6"/>
    <w:rsid w:val="00342558"/>
    <w:rsid w:val="003447D9"/>
    <w:rsid w:val="0034572E"/>
    <w:rsid w:val="00351892"/>
    <w:rsid w:val="00357058"/>
    <w:rsid w:val="00361ACD"/>
    <w:rsid w:val="00381145"/>
    <w:rsid w:val="00382CAF"/>
    <w:rsid w:val="00391FF2"/>
    <w:rsid w:val="00392BC5"/>
    <w:rsid w:val="00395A07"/>
    <w:rsid w:val="003A0660"/>
    <w:rsid w:val="003A7E15"/>
    <w:rsid w:val="003B0415"/>
    <w:rsid w:val="003B7834"/>
    <w:rsid w:val="003C0BAD"/>
    <w:rsid w:val="003C5F80"/>
    <w:rsid w:val="003C6150"/>
    <w:rsid w:val="003C6298"/>
    <w:rsid w:val="003E105B"/>
    <w:rsid w:val="003E4588"/>
    <w:rsid w:val="003E5975"/>
    <w:rsid w:val="003E5D15"/>
    <w:rsid w:val="003F08FA"/>
    <w:rsid w:val="003F0F75"/>
    <w:rsid w:val="00407B14"/>
    <w:rsid w:val="0041164E"/>
    <w:rsid w:val="004141FD"/>
    <w:rsid w:val="004231C9"/>
    <w:rsid w:val="00425024"/>
    <w:rsid w:val="00425AB7"/>
    <w:rsid w:val="004265D9"/>
    <w:rsid w:val="00427C4A"/>
    <w:rsid w:val="004311B7"/>
    <w:rsid w:val="00433B86"/>
    <w:rsid w:val="0043413F"/>
    <w:rsid w:val="00436E91"/>
    <w:rsid w:val="00443B72"/>
    <w:rsid w:val="00447C62"/>
    <w:rsid w:val="00454CDF"/>
    <w:rsid w:val="0045775F"/>
    <w:rsid w:val="00464D8A"/>
    <w:rsid w:val="00493A6F"/>
    <w:rsid w:val="00495ADE"/>
    <w:rsid w:val="004A1504"/>
    <w:rsid w:val="004A6707"/>
    <w:rsid w:val="004B2B28"/>
    <w:rsid w:val="004C17C2"/>
    <w:rsid w:val="004C5360"/>
    <w:rsid w:val="004E2196"/>
    <w:rsid w:val="004E2418"/>
    <w:rsid w:val="004F1624"/>
    <w:rsid w:val="004F3E86"/>
    <w:rsid w:val="004F424F"/>
    <w:rsid w:val="005064B5"/>
    <w:rsid w:val="0051011F"/>
    <w:rsid w:val="00521EE9"/>
    <w:rsid w:val="0052718F"/>
    <w:rsid w:val="00535096"/>
    <w:rsid w:val="0054697D"/>
    <w:rsid w:val="00553231"/>
    <w:rsid w:val="005558FD"/>
    <w:rsid w:val="00556119"/>
    <w:rsid w:val="0055680D"/>
    <w:rsid w:val="00566A1B"/>
    <w:rsid w:val="00573DFA"/>
    <w:rsid w:val="005740B1"/>
    <w:rsid w:val="00582C3B"/>
    <w:rsid w:val="005A3EA7"/>
    <w:rsid w:val="005B1B7F"/>
    <w:rsid w:val="005C5414"/>
    <w:rsid w:val="005D3D6C"/>
    <w:rsid w:val="005F01E8"/>
    <w:rsid w:val="005F3134"/>
    <w:rsid w:val="005F662C"/>
    <w:rsid w:val="005F67A0"/>
    <w:rsid w:val="00613E1F"/>
    <w:rsid w:val="006146F6"/>
    <w:rsid w:val="00616D6F"/>
    <w:rsid w:val="00624EB4"/>
    <w:rsid w:val="00634D48"/>
    <w:rsid w:val="00634DE6"/>
    <w:rsid w:val="0064690F"/>
    <w:rsid w:val="00656628"/>
    <w:rsid w:val="0066137A"/>
    <w:rsid w:val="00661C5D"/>
    <w:rsid w:val="00670E3F"/>
    <w:rsid w:val="00672318"/>
    <w:rsid w:val="00674F8E"/>
    <w:rsid w:val="006853F3"/>
    <w:rsid w:val="00694540"/>
    <w:rsid w:val="006B317B"/>
    <w:rsid w:val="006B753B"/>
    <w:rsid w:val="006D0884"/>
    <w:rsid w:val="006D36E8"/>
    <w:rsid w:val="006E3656"/>
    <w:rsid w:val="006E71DA"/>
    <w:rsid w:val="006F6A5F"/>
    <w:rsid w:val="00701716"/>
    <w:rsid w:val="00704F70"/>
    <w:rsid w:val="00710731"/>
    <w:rsid w:val="00717FB7"/>
    <w:rsid w:val="00727CAF"/>
    <w:rsid w:val="007303B0"/>
    <w:rsid w:val="00733A53"/>
    <w:rsid w:val="0073641E"/>
    <w:rsid w:val="007446A2"/>
    <w:rsid w:val="00755B1A"/>
    <w:rsid w:val="00757B15"/>
    <w:rsid w:val="00760956"/>
    <w:rsid w:val="0076167A"/>
    <w:rsid w:val="007672A2"/>
    <w:rsid w:val="00776DE6"/>
    <w:rsid w:val="007777B1"/>
    <w:rsid w:val="00780B8F"/>
    <w:rsid w:val="00783439"/>
    <w:rsid w:val="00793F29"/>
    <w:rsid w:val="0079551F"/>
    <w:rsid w:val="007B2774"/>
    <w:rsid w:val="007C0180"/>
    <w:rsid w:val="007C7695"/>
    <w:rsid w:val="007D0163"/>
    <w:rsid w:val="007D5D8E"/>
    <w:rsid w:val="007F1DF6"/>
    <w:rsid w:val="007F646C"/>
    <w:rsid w:val="00800A83"/>
    <w:rsid w:val="00802FF3"/>
    <w:rsid w:val="00805D01"/>
    <w:rsid w:val="00810EFE"/>
    <w:rsid w:val="00812336"/>
    <w:rsid w:val="00820521"/>
    <w:rsid w:val="008267C5"/>
    <w:rsid w:val="00827CBB"/>
    <w:rsid w:val="008312D5"/>
    <w:rsid w:val="008444C2"/>
    <w:rsid w:val="00854A6E"/>
    <w:rsid w:val="0086059C"/>
    <w:rsid w:val="00887D12"/>
    <w:rsid w:val="008930AB"/>
    <w:rsid w:val="008A536E"/>
    <w:rsid w:val="008B567C"/>
    <w:rsid w:val="008C3984"/>
    <w:rsid w:val="008D2CCA"/>
    <w:rsid w:val="008D63C4"/>
    <w:rsid w:val="008E465E"/>
    <w:rsid w:val="008F12E0"/>
    <w:rsid w:val="009008AD"/>
    <w:rsid w:val="00903C70"/>
    <w:rsid w:val="00906368"/>
    <w:rsid w:val="009125F4"/>
    <w:rsid w:val="00916B52"/>
    <w:rsid w:val="00920A11"/>
    <w:rsid w:val="00927051"/>
    <w:rsid w:val="00930AD5"/>
    <w:rsid w:val="00941A39"/>
    <w:rsid w:val="00943ABD"/>
    <w:rsid w:val="00944828"/>
    <w:rsid w:val="009506FE"/>
    <w:rsid w:val="009604DB"/>
    <w:rsid w:val="00970282"/>
    <w:rsid w:val="00980D89"/>
    <w:rsid w:val="0098226C"/>
    <w:rsid w:val="0098292F"/>
    <w:rsid w:val="009856E9"/>
    <w:rsid w:val="00995818"/>
    <w:rsid w:val="00996DC2"/>
    <w:rsid w:val="009A4B0F"/>
    <w:rsid w:val="009B42D9"/>
    <w:rsid w:val="009B6367"/>
    <w:rsid w:val="009B779C"/>
    <w:rsid w:val="009C2C74"/>
    <w:rsid w:val="009C355E"/>
    <w:rsid w:val="009D12A4"/>
    <w:rsid w:val="009D775B"/>
    <w:rsid w:val="009E7099"/>
    <w:rsid w:val="009F6A4D"/>
    <w:rsid w:val="00A0525B"/>
    <w:rsid w:val="00A11963"/>
    <w:rsid w:val="00A22CDB"/>
    <w:rsid w:val="00A266C4"/>
    <w:rsid w:val="00A347BF"/>
    <w:rsid w:val="00A457A8"/>
    <w:rsid w:val="00A50266"/>
    <w:rsid w:val="00A70E70"/>
    <w:rsid w:val="00A71D05"/>
    <w:rsid w:val="00A726F4"/>
    <w:rsid w:val="00A74954"/>
    <w:rsid w:val="00A770F7"/>
    <w:rsid w:val="00A91779"/>
    <w:rsid w:val="00AC4AC0"/>
    <w:rsid w:val="00AD5408"/>
    <w:rsid w:val="00AD5979"/>
    <w:rsid w:val="00AE5A14"/>
    <w:rsid w:val="00AE69A0"/>
    <w:rsid w:val="00AF2D48"/>
    <w:rsid w:val="00AF6C37"/>
    <w:rsid w:val="00B01E7A"/>
    <w:rsid w:val="00B1488C"/>
    <w:rsid w:val="00B23373"/>
    <w:rsid w:val="00B278C7"/>
    <w:rsid w:val="00B351B6"/>
    <w:rsid w:val="00B37521"/>
    <w:rsid w:val="00B5578C"/>
    <w:rsid w:val="00B64042"/>
    <w:rsid w:val="00B64402"/>
    <w:rsid w:val="00B73BA5"/>
    <w:rsid w:val="00B8182A"/>
    <w:rsid w:val="00B91367"/>
    <w:rsid w:val="00BA3E1D"/>
    <w:rsid w:val="00BC573C"/>
    <w:rsid w:val="00BD6E70"/>
    <w:rsid w:val="00BE2516"/>
    <w:rsid w:val="00BF5247"/>
    <w:rsid w:val="00C04C1F"/>
    <w:rsid w:val="00C310C6"/>
    <w:rsid w:val="00C33E3F"/>
    <w:rsid w:val="00C4771D"/>
    <w:rsid w:val="00C57534"/>
    <w:rsid w:val="00C61DCE"/>
    <w:rsid w:val="00C73415"/>
    <w:rsid w:val="00C8439A"/>
    <w:rsid w:val="00C868E6"/>
    <w:rsid w:val="00C90B7F"/>
    <w:rsid w:val="00CB001F"/>
    <w:rsid w:val="00CB1B9E"/>
    <w:rsid w:val="00CB78C3"/>
    <w:rsid w:val="00CB7F32"/>
    <w:rsid w:val="00CC01F5"/>
    <w:rsid w:val="00CC6A82"/>
    <w:rsid w:val="00CD1851"/>
    <w:rsid w:val="00CD4A9A"/>
    <w:rsid w:val="00CE465F"/>
    <w:rsid w:val="00D02EBC"/>
    <w:rsid w:val="00D12DE0"/>
    <w:rsid w:val="00D16722"/>
    <w:rsid w:val="00D209E8"/>
    <w:rsid w:val="00D20CBE"/>
    <w:rsid w:val="00D24409"/>
    <w:rsid w:val="00D25625"/>
    <w:rsid w:val="00D30CCD"/>
    <w:rsid w:val="00D36C65"/>
    <w:rsid w:val="00D42EA2"/>
    <w:rsid w:val="00D444CD"/>
    <w:rsid w:val="00D62D65"/>
    <w:rsid w:val="00D64B3C"/>
    <w:rsid w:val="00D850FB"/>
    <w:rsid w:val="00D857E5"/>
    <w:rsid w:val="00D859CB"/>
    <w:rsid w:val="00D87234"/>
    <w:rsid w:val="00D93837"/>
    <w:rsid w:val="00D95B9D"/>
    <w:rsid w:val="00D96A26"/>
    <w:rsid w:val="00DC363F"/>
    <w:rsid w:val="00DC64FA"/>
    <w:rsid w:val="00DC740C"/>
    <w:rsid w:val="00DD7CAE"/>
    <w:rsid w:val="00DE1916"/>
    <w:rsid w:val="00DE4B82"/>
    <w:rsid w:val="00DE55B6"/>
    <w:rsid w:val="00DF3105"/>
    <w:rsid w:val="00E47287"/>
    <w:rsid w:val="00E51BB0"/>
    <w:rsid w:val="00E6071C"/>
    <w:rsid w:val="00E62BF0"/>
    <w:rsid w:val="00E92B30"/>
    <w:rsid w:val="00ED7A7C"/>
    <w:rsid w:val="00EE4FB7"/>
    <w:rsid w:val="00EF72D6"/>
    <w:rsid w:val="00F20134"/>
    <w:rsid w:val="00F21F03"/>
    <w:rsid w:val="00F2719E"/>
    <w:rsid w:val="00F344DD"/>
    <w:rsid w:val="00F37986"/>
    <w:rsid w:val="00F51581"/>
    <w:rsid w:val="00F603FA"/>
    <w:rsid w:val="00F65B1A"/>
    <w:rsid w:val="00F742E5"/>
    <w:rsid w:val="00F924C3"/>
    <w:rsid w:val="00F9749C"/>
    <w:rsid w:val="00FA5457"/>
    <w:rsid w:val="00FB2BCE"/>
    <w:rsid w:val="00FB44FD"/>
    <w:rsid w:val="00FC70A6"/>
    <w:rsid w:val="00FC7715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vodovzprvaChar">
    <w:name w:val="Důvodová zpráva Char"/>
    <w:link w:val="Dvodovzprva"/>
    <w:locked/>
    <w:rsid w:val="00710731"/>
    <w:rPr>
      <w:color w:val="0000FF"/>
      <w:sz w:val="24"/>
    </w:rPr>
  </w:style>
  <w:style w:type="paragraph" w:customStyle="1" w:styleId="Dvodovzprva">
    <w:name w:val="Důvodová zpráva"/>
    <w:basedOn w:val="Normln"/>
    <w:link w:val="DvodovzprvaChar"/>
    <w:rsid w:val="00710731"/>
    <w:pPr>
      <w:keepNext/>
      <w:spacing w:before="120" w:after="120"/>
      <w:outlineLvl w:val="0"/>
    </w:pPr>
    <w:rPr>
      <w:color w:val="0000FF"/>
      <w:sz w:val="24"/>
    </w:rPr>
  </w:style>
  <w:style w:type="paragraph" w:styleId="Bezmezer">
    <w:name w:val="No Spacing"/>
    <w:uiPriority w:val="1"/>
    <w:qFormat/>
    <w:rsid w:val="00755B1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vodovzprvaChar">
    <w:name w:val="Důvodová zpráva Char"/>
    <w:link w:val="Dvodovzprva"/>
    <w:locked/>
    <w:rsid w:val="00710731"/>
    <w:rPr>
      <w:color w:val="0000FF"/>
      <w:sz w:val="24"/>
    </w:rPr>
  </w:style>
  <w:style w:type="paragraph" w:customStyle="1" w:styleId="Dvodovzprva">
    <w:name w:val="Důvodová zpráva"/>
    <w:basedOn w:val="Normln"/>
    <w:link w:val="DvodovzprvaChar"/>
    <w:rsid w:val="00710731"/>
    <w:pPr>
      <w:keepNext/>
      <w:spacing w:before="120" w:after="120"/>
      <w:outlineLvl w:val="0"/>
    </w:pPr>
    <w:rPr>
      <w:color w:val="0000FF"/>
      <w:sz w:val="24"/>
    </w:rPr>
  </w:style>
  <w:style w:type="paragraph" w:styleId="Bezmezer">
    <w:name w:val="No Spacing"/>
    <w:uiPriority w:val="1"/>
    <w:qFormat/>
    <w:rsid w:val="00755B1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1119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svaz</dc:creator>
  <cp:lastModifiedBy>svaz</cp:lastModifiedBy>
  <cp:revision>1</cp:revision>
  <dcterms:created xsi:type="dcterms:W3CDTF">2012-12-28T08:25:00Z</dcterms:created>
  <dcterms:modified xsi:type="dcterms:W3CDTF">2012-12-28T09:42:00Z</dcterms:modified>
</cp:coreProperties>
</file>